
<file path=[Content_Types].xml><?xml version="1.0" encoding="utf-8"?>
<Types xmlns="http://schemas.openxmlformats.org/package/2006/content-types">
  <Default Extension="png" ContentType="image/png"/>
  <Default Extension="bmp" ContentType="image/bmp"/>
  <Default Extension="pdf" ContentType="application/pdf"/>
  <Default Extension="rels" ContentType="application/vnd.openxmlformats-package.relationships+xml"/>
  <Default Extension="jpeg" ContentType="image/jpg"/>
  <Default Extension="mov" ContentType="application/movie"/>
  <Default Extension="xml" ContentType="application/xml"/>
  <Default Extension="gif" ContentType="image/gif"/>
  <Default Extension="tif" ContentType="image/tif"/>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officeDocument" Target="word/document.xml"/><Relationship Id="rId2" Type="http://schemas.openxmlformats.org/officeDocument/2006/relationships/extended-properties" Target="docProps/app.xml"/><Relationship Id="rId1"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rPr>
          <w:sz w:val="30"/>
          <w:szCs w:val="30"/>
        </w:rPr>
      </w:pPr>
      <w:r>
        <w:rPr>
          <w:b w:val="0"/>
          <w:bCs w:val="0"/>
          <w:sz w:val="30"/>
          <w:szCs w:val="30"/>
          <w:rtl w:val="0"/>
          <w:lang w:val="nl-NL"/>
        </w:rPr>
        <w:t>Een sjabloon voor</w:t>
      </w:r>
    </w:p>
    <w:p>
      <w:pPr>
        <w:pStyle w:val="Title"/>
      </w:pPr>
      <w:r>
        <w:rPr>
          <w:rtl w:val="0"/>
          <w:lang w:val="nl-NL"/>
        </w:rPr>
        <w:t>Cybersecuritydossier</w:t>
      </w:r>
    </w:p>
    <w:p>
      <w:pPr>
        <w:pStyle w:val="Title"/>
      </w:pPr>
      <w:r>
        <w:rPr>
          <w:rtl w:val="0"/>
          <w:lang w:val="nl-NL"/>
        </w:rPr>
        <w:t>[systeem/project]</w:t>
      </w:r>
    </w:p>
    <w:p>
      <w:pPr>
        <w:pStyle w:val="SubTitel"/>
      </w:pPr>
    </w:p>
    <w:p>
      <w:pPr>
        <w:pStyle w:val="SubTitel"/>
      </w:pPr>
      <w:r>
        <w:rPr>
          <w:rFonts w:cs="Arial Unicode MS" w:eastAsia="Arial Unicode MS"/>
          <w:rtl w:val="0"/>
          <w:lang w:val="nl-NL"/>
        </w:rPr>
        <w:t xml:space="preserve">voor de Operationele Technologie </w:t>
      </w:r>
    </w:p>
    <w:p>
      <w:pPr>
        <w:pStyle w:val="SubTitel"/>
      </w:pPr>
      <w:r>
        <w:rPr>
          <w:rFonts w:cs="Arial Unicode MS" w:eastAsia="Arial Unicode MS"/>
          <w:rtl w:val="0"/>
          <w:lang w:val="nl-NL"/>
        </w:rPr>
        <w:t>van Metro en Tram</w:t>
      </w:r>
    </w:p>
    <w:p>
      <w:pPr>
        <w:pStyle w:val="SubTitel"/>
      </w:pPr>
      <w:r>
        <w:rPr>
          <w:rFonts w:cs="Arial Unicode MS" w:eastAsia="Arial Unicode MS"/>
          <w:rtl w:val="0"/>
          <w:lang w:val="nl-NL"/>
        </w:rPr>
        <w:t>Gemeente Amsterdam</w:t>
      </w:r>
    </w:p>
    <w:p>
      <w:pPr>
        <w:pStyle w:val="Normal.0"/>
        <w:jc w:val="center"/>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rPr>
          <w:b w:val="1"/>
          <w:bCs w:val="1"/>
        </w:rPr>
      </w:pPr>
      <w:r>
        <w:rPr>
          <w:b w:val="1"/>
          <w:bCs w:val="1"/>
          <w:rtl w:val="0"/>
          <w:lang w:val="nl-NL"/>
        </w:rPr>
        <w:t xml:space="preserve">Vertrouwelijkheid. </w:t>
      </w:r>
    </w:p>
    <w:p>
      <w:pPr>
        <w:pStyle w:val="Normal.0"/>
      </w:pPr>
      <w:r>
        <w:rPr>
          <w:rtl w:val="0"/>
          <w:lang w:val="nl-NL"/>
        </w:rPr>
        <w:t>Een ingevuld cybersecurity</w:t>
      </w:r>
      <w:r>
        <w:rPr>
          <w:rtl w:val="0"/>
          <w:lang w:val="nl-NL"/>
        </w:rPr>
        <w:t>-dossier</w:t>
      </w:r>
      <w:r>
        <w:rPr>
          <w:rtl w:val="0"/>
          <w:lang w:val="nl-NL"/>
        </w:rPr>
        <w:t xml:space="preserve"> is zeer-vertrouwelijk.</w:t>
      </w:r>
    </w:p>
    <w:p>
      <w:pPr>
        <w:pStyle w:val="Normal.0"/>
      </w:pPr>
      <w:r>
        <w:rPr>
          <w:rtl w:val="0"/>
          <w:lang w:val="nl-NL"/>
        </w:rPr>
        <w:t xml:space="preserve">Dit sjabloon is niet-vertrouwelijk. </w:t>
      </w:r>
    </w:p>
    <w:p>
      <w:pPr>
        <w:pStyle w:val="Normal.0"/>
      </w:pPr>
    </w:p>
    <w:p>
      <w:pPr>
        <w:pStyle w:val="Normal.0"/>
      </w:pPr>
    </w:p>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rPr>
          <w:b w:val="1"/>
          <w:bCs w:val="1"/>
        </w:rPr>
      </w:pPr>
      <w:r>
        <w:rPr>
          <w:b w:val="1"/>
          <w:bCs w:val="1"/>
          <w:rtl w:val="0"/>
          <w:lang w:val="nl-NL"/>
        </w:rPr>
        <w:t xml:space="preserve">Documentnummer </w:t>
      </w:r>
    </w:p>
    <w:p>
      <w:pPr>
        <w:pStyle w:val="Normal.0"/>
      </w:pPr>
      <w:r>
        <w:rPr>
          <w:rtl w:val="0"/>
          <w:lang w:val="nl-NL"/>
        </w:rPr>
        <w:t xml:space="preserve">Join </w:t>
        <w:tab/>
        <w:tab/>
      </w:r>
      <w:r>
        <w:rPr>
          <w:rtl w:val="0"/>
          <w:lang w:val="de-DE"/>
        </w:rPr>
        <w:t>CEB/OVG/20265</w:t>
      </w:r>
    </w:p>
    <w:p>
      <w:pPr>
        <w:pStyle w:val="Normal.0"/>
        <w:rPr>
          <w:lang w:val="de-DE"/>
        </w:rPr>
      </w:pPr>
    </w:p>
    <w:p>
      <w:pPr>
        <w:pStyle w:val="Normal.0"/>
        <w:rPr>
          <w:lang w:val="de-DE"/>
        </w:rPr>
      </w:pPr>
    </w:p>
    <w:p>
      <w:pPr>
        <w:pStyle w:val="Normal.0"/>
        <w:rPr>
          <w:b w:val="1"/>
          <w:bCs w:val="1"/>
          <w:lang w:val="de-DE"/>
        </w:rPr>
      </w:pPr>
      <w:r>
        <w:rPr>
          <w:b w:val="1"/>
          <w:bCs w:val="1"/>
          <w:rtl w:val="0"/>
          <w:lang w:val="de-DE"/>
        </w:rPr>
        <w:t>Status/Versie</w:t>
      </w:r>
    </w:p>
    <w:p>
      <w:pPr>
        <w:pStyle w:val="Normal.0"/>
        <w:rPr>
          <w:lang w:val="de-DE"/>
        </w:rPr>
      </w:pPr>
      <w:r>
        <w:rPr>
          <w:rtl w:val="0"/>
          <w:lang w:val="de-DE"/>
        </w:rPr>
        <w:t xml:space="preserve">16 maart </w:t>
      </w:r>
      <w:r>
        <w:rPr>
          <w:rtl w:val="0"/>
          <w:lang w:val="de-DE"/>
        </w:rPr>
        <w:t>2020</w:t>
      </w:r>
      <w:r>
        <w:rPr>
          <w:rtl w:val="0"/>
          <w:lang w:val="de-DE"/>
        </w:rPr>
        <w:t xml:space="preserve">, </w:t>
      </w:r>
      <w:r>
        <w:rPr>
          <w:rtl w:val="0"/>
          <w:lang w:val="de-DE"/>
        </w:rPr>
        <w:t>Wim van Asperen, opmaak aanpassingen</w:t>
      </w:r>
    </w:p>
    <w:p>
      <w:pPr>
        <w:pStyle w:val="Normal.0"/>
        <w:rPr>
          <w:lang w:val="de-DE"/>
        </w:rPr>
      </w:pPr>
      <w:r>
        <w:rPr>
          <w:rtl w:val="0"/>
          <w:lang w:val="de-DE"/>
        </w:rPr>
        <w:t>21 februari 2020</w:t>
      </w:r>
      <w:r>
        <w:rPr>
          <w:rtl w:val="0"/>
          <w:lang w:val="de-DE"/>
        </w:rPr>
        <w:t xml:space="preserve">, </w:t>
      </w:r>
      <w:r>
        <w:rPr>
          <w:rtl w:val="0"/>
          <w:lang w:val="de-DE"/>
        </w:rPr>
        <w:t>Status</w:t>
      </w:r>
      <w:r>
        <w:rPr>
          <w:rtl w:val="0"/>
          <w:lang w:val="de-DE"/>
        </w:rPr>
        <w:t xml:space="preserve"> </w:t>
      </w:r>
      <w:r>
        <w:rPr>
          <w:b w:val="1"/>
          <w:bCs w:val="1"/>
          <w:rtl w:val="0"/>
          <w:lang w:val="de-DE"/>
        </w:rPr>
        <w:t>Definitief</w:t>
      </w:r>
      <w:r>
        <w:rPr>
          <w:rtl w:val="0"/>
          <w:lang w:val="de-DE"/>
        </w:rPr>
        <w:t xml:space="preserve">, door </w:t>
      </w:r>
      <w:r>
        <w:rPr>
          <w:rtl w:val="0"/>
          <w:lang w:val="de-DE"/>
        </w:rPr>
        <w:t>Wim van Asperen</w:t>
      </w:r>
    </w:p>
    <w:p>
      <w:pPr>
        <w:pStyle w:val="Normal.0"/>
        <w:rPr>
          <w:lang w:val="de-DE"/>
        </w:rPr>
      </w:pPr>
      <w:r>
        <w:rPr>
          <w:rtl w:val="0"/>
          <w:lang w:val="de-DE"/>
        </w:rPr>
        <w:t>20 aug</w:t>
      </w:r>
      <w:r>
        <w:rPr>
          <w:rtl w:val="0"/>
          <w:lang w:val="de-DE"/>
        </w:rPr>
        <w:t>ustus</w:t>
      </w:r>
      <w:r>
        <w:rPr>
          <w:rtl w:val="0"/>
          <w:lang w:val="de-DE"/>
        </w:rPr>
        <w:t xml:space="preserve"> 2019</w:t>
      </w:r>
      <w:r>
        <w:rPr>
          <w:rtl w:val="0"/>
          <w:lang w:val="de-DE"/>
        </w:rPr>
        <w:t xml:space="preserve">, </w:t>
      </w:r>
      <w:r>
        <w:rPr>
          <w:rtl w:val="0"/>
          <w:lang w:val="de-DE"/>
        </w:rPr>
        <w:t>Versie</w:t>
      </w:r>
      <w:r>
        <w:rPr>
          <w:rtl w:val="0"/>
          <w:lang w:val="nl-NL"/>
        </w:rPr>
        <w:t xml:space="preserve"> </w:t>
      </w:r>
      <w:r>
        <w:rPr>
          <w:rtl w:val="0"/>
          <w:lang w:val="de-DE"/>
        </w:rPr>
        <w:t>0.92</w:t>
      </w:r>
      <w:r>
        <w:rPr>
          <w:rtl w:val="0"/>
          <w:lang w:val="nl-NL"/>
        </w:rPr>
        <w:t>, s</w:t>
      </w:r>
      <w:r>
        <w:rPr>
          <w:rtl w:val="0"/>
          <w:lang w:val="de-DE"/>
        </w:rPr>
        <w:t>tatus</w:t>
      </w:r>
      <w:r>
        <w:rPr>
          <w:rtl w:val="0"/>
          <w:lang w:val="de-DE"/>
        </w:rPr>
        <w:t xml:space="preserve"> </w:t>
      </w:r>
      <w:r>
        <w:rPr>
          <w:rtl w:val="0"/>
          <w:lang w:val="de-DE"/>
        </w:rPr>
        <w:t>concept; opmerkingen Andre van der Veen verwerkt.</w:t>
      </w:r>
    </w:p>
    <w:p>
      <w:pPr>
        <w:pStyle w:val="Normal.0"/>
        <w:rPr>
          <w:lang w:val="de-DE"/>
        </w:rPr>
      </w:pPr>
      <w:r>
        <w:rPr>
          <w:rtl w:val="0"/>
          <w:lang w:val="de-DE"/>
        </w:rPr>
        <w:t>30 juli 2019</w:t>
      </w:r>
      <w:r>
        <w:rPr>
          <w:rtl w:val="0"/>
          <w:lang w:val="de-DE"/>
        </w:rPr>
        <w:t xml:space="preserve">, </w:t>
      </w:r>
      <w:r>
        <w:rPr>
          <w:rtl w:val="0"/>
          <w:lang w:val="de-DE"/>
        </w:rPr>
        <w:t>Versie</w:t>
      </w:r>
      <w:r>
        <w:rPr>
          <w:rtl w:val="0"/>
          <w:lang w:val="nl-NL"/>
        </w:rPr>
        <w:t xml:space="preserve"> </w:t>
      </w:r>
      <w:r>
        <w:rPr>
          <w:rtl w:val="0"/>
          <w:lang w:val="de-DE"/>
        </w:rPr>
        <w:t>0.91</w:t>
      </w:r>
      <w:r>
        <w:rPr>
          <w:rtl w:val="0"/>
          <w:lang w:val="nl-NL"/>
        </w:rPr>
        <w:t xml:space="preserve">, </w:t>
      </w:r>
      <w:r>
        <w:rPr>
          <w:rtl w:val="0"/>
          <w:lang w:val="de-DE"/>
        </w:rPr>
        <w:t xml:space="preserve">concept; </w:t>
      </w:r>
      <w:r>
        <w:rPr>
          <w:rtl w:val="0"/>
          <w:lang w:val="nl-NL"/>
        </w:rPr>
        <w:t>e</w:t>
      </w:r>
      <w:r>
        <w:rPr>
          <w:rtl w:val="0"/>
          <w:lang w:val="de-DE"/>
        </w:rPr>
        <w:t>erste versie</w:t>
      </w:r>
      <w:r>
        <w:rPr>
          <w:rtl w:val="0"/>
          <w:lang w:val="nl-NL"/>
        </w:rPr>
        <w:t>,</w:t>
      </w:r>
      <w:r>
        <w:rPr>
          <w:rtl w:val="0"/>
          <w:lang w:val="de-DE"/>
        </w:rPr>
        <w:t xml:space="preserve"> Wim van Asperen</w:t>
      </w:r>
      <w:r>
        <w:rPr>
          <w:rtl w:val="0"/>
          <w:lang w:val="nl-NL"/>
        </w:rPr>
        <w:t>.</w:t>
      </w:r>
    </w:p>
    <w:p>
      <w:pPr>
        <w:pStyle w:val="Normal.0"/>
      </w:pPr>
    </w:p>
    <w:p>
      <w:pPr>
        <w:pStyle w:val="Normal.0"/>
      </w:pPr>
    </w:p>
    <w:p>
      <w:pPr>
        <w:pStyle w:val="Normal.0"/>
      </w:pPr>
    </w:p>
    <w:p>
      <w:pPr>
        <w:pStyle w:val="Normal.0"/>
        <w:rPr>
          <w:rFonts w:ascii="Arial Unicode MS" w:cs="Arial Unicode MS" w:hAnsi="Arial Unicode MS" w:eastAsia="Arial Unicode MS"/>
          <w:sz w:val="24"/>
          <w:szCs w:val="24"/>
        </w:rPr>
      </w:pPr>
    </w:p>
    <w:p>
      <w:pPr>
        <w:pStyle w:val="Normal.0"/>
      </w:pPr>
      <w:r>
        <w:rPr>
          <w:rFonts w:ascii="Arial Unicode MS" w:cs="Arial Unicode MS" w:hAnsi="Arial Unicode MS" w:eastAsia="Arial Unicode MS"/>
          <w:b w:val="0"/>
          <w:bCs w:val="0"/>
          <w:i w:val="0"/>
          <w:iCs w:val="0"/>
          <w:sz w:val="24"/>
          <w:szCs w:val="24"/>
        </w:rPr>
        <w:br w:type="page"/>
      </w:r>
    </w:p>
    <w:p>
      <w:pPr>
        <w:pStyle w:val="heading 1"/>
        <w:numPr>
          <w:ilvl w:val="0"/>
          <w:numId w:val="2"/>
        </w:numPr>
      </w:pPr>
      <w:r>
        <w:rPr>
          <w:rtl w:val="0"/>
          <w:lang w:val="nl-NL"/>
        </w:rPr>
        <w:t>Inleiding</w:t>
      </w:r>
    </w:p>
    <w:p>
      <w:pPr>
        <w:pStyle w:val="Normal.0"/>
        <w:rPr>
          <w:b w:val="1"/>
          <w:bCs w:val="1"/>
          <w:i w:val="1"/>
          <w:iCs w:val="1"/>
          <w:sz w:val="18"/>
          <w:szCs w:val="18"/>
        </w:rPr>
      </w:pPr>
      <w:r>
        <w:rPr>
          <w:i w:val="1"/>
          <w:iCs w:val="1"/>
          <w:sz w:val="18"/>
          <w:szCs w:val="18"/>
          <w:rtl w:val="0"/>
          <w:lang w:val="nl-NL"/>
        </w:rPr>
        <w:t xml:space="preserve">Dit </w:t>
      </w:r>
      <w:r>
        <w:rPr>
          <w:i w:val="1"/>
          <w:iCs w:val="1"/>
          <w:sz w:val="18"/>
          <w:szCs w:val="18"/>
          <w:rtl w:val="0"/>
          <w:lang w:val="nl-NL"/>
        </w:rPr>
        <w:t xml:space="preserve">sjabloon voor een </w:t>
      </w:r>
      <w:r>
        <w:rPr>
          <w:i w:val="1"/>
          <w:iCs w:val="1"/>
          <w:sz w:val="18"/>
          <w:szCs w:val="18"/>
          <w:rtl w:val="0"/>
          <w:lang w:val="nl-NL"/>
        </w:rPr>
        <w:t>cybersecuritydossier is bedoeld als raamwerk voor het opstellen van een cybersecuritydossier voor elk (her)bouwproject c.q. systeem of asset met een scope tot en met de overdracht naar exploitatie en beheer. Dit sjabloon wordt herschreven tot een specifiek cybersecuritydossier voor een object/asset.</w:t>
      </w:r>
      <w:r>
        <w:rPr>
          <w:i w:val="1"/>
          <w:iCs w:val="1"/>
          <w:sz w:val="18"/>
          <w:szCs w:val="18"/>
          <w:rtl w:val="0"/>
          <w:lang w:val="nl-NL"/>
        </w:rPr>
        <w:t xml:space="preserve"> </w:t>
      </w:r>
      <w:r>
        <w:rPr>
          <w:i w:val="1"/>
          <w:iCs w:val="1"/>
          <w:sz w:val="18"/>
          <w:szCs w:val="18"/>
          <w:rtl w:val="0"/>
          <w:lang w:val="nl-NL"/>
        </w:rPr>
        <w:t>Het is bedoeld om cybersecurity-medewerkers, contractmanagers, assetmanagers, ontwerpers, ontwikkelaars, beheerders de handvatten te geven om de cybersecurity van de OT handen en voeten te geven.</w:t>
      </w:r>
      <w:r>
        <w:rPr>
          <w:i w:val="1"/>
          <w:iCs w:val="1"/>
          <w:sz w:val="18"/>
          <w:szCs w:val="18"/>
          <w:rtl w:val="0"/>
          <w:lang w:val="nl-NL"/>
        </w:rPr>
        <w:t xml:space="preserve"> </w:t>
      </w:r>
      <w:r>
        <w:rPr>
          <w:i w:val="1"/>
          <w:iCs w:val="1"/>
          <w:sz w:val="18"/>
          <w:szCs w:val="18"/>
          <w:rtl w:val="0"/>
          <w:lang w:val="nl-NL"/>
        </w:rPr>
        <w:t xml:space="preserve">Dit document is een onderdeel van de CS aanpak van MET voor OT. </w:t>
      </w:r>
      <w:r>
        <w:rPr>
          <w:i w:val="1"/>
          <w:iCs w:val="1"/>
          <w:sz w:val="18"/>
          <w:szCs w:val="18"/>
          <w:rtl w:val="0"/>
          <w:lang w:val="nl-NL"/>
        </w:rPr>
        <w:t xml:space="preserve"> </w:t>
      </w:r>
      <w:r>
        <w:rPr>
          <w:i w:val="1"/>
          <w:iCs w:val="1"/>
          <w:sz w:val="18"/>
          <w:szCs w:val="18"/>
          <w:rtl w:val="0"/>
          <w:lang w:val="nl-NL"/>
        </w:rPr>
        <w:t xml:space="preserve">Zie [9] CS Voorschrift OT MET, </w:t>
      </w:r>
      <w:r>
        <w:rPr>
          <w:i w:val="1"/>
          <w:iCs w:val="1"/>
          <w:sz w:val="18"/>
          <w:szCs w:val="18"/>
          <w:rtl w:val="0"/>
          <w:lang w:val="de-DE"/>
        </w:rPr>
        <w:t>CEB-OVG-21876.</w:t>
      </w:r>
    </w:p>
    <w:p>
      <w:pPr>
        <w:pStyle w:val="Normal.0"/>
        <w:rPr>
          <w:b w:val="1"/>
          <w:bCs w:val="1"/>
        </w:rPr>
      </w:pPr>
    </w:p>
    <w:p>
      <w:pPr>
        <w:pStyle w:val="Hoofdtekst"/>
        <w:bidi w:val="0"/>
      </w:pPr>
      <w:r>
        <w:rPr>
          <w:rtl w:val="0"/>
          <w:lang w:val="nl-NL"/>
        </w:rPr>
        <w:t xml:space="preserve">Het </w:t>
      </w:r>
      <w:r>
        <w:rPr>
          <w:rtl w:val="0"/>
        </w:rPr>
        <w:t xml:space="preserve">cybersecuritydossier van </w:t>
      </w:r>
      <w:r>
        <w:rPr>
          <w:rtl w:val="0"/>
          <w:lang w:val="nl-NL"/>
        </w:rPr>
        <w:t>beschrijft de cybersecuritydoelstellingen, -risico's en legt vast wat de benodigde maatregelen zijn die door een project worden ge</w:t>
      </w:r>
      <w:r>
        <w:rPr>
          <w:rtl w:val="0"/>
          <w:lang w:val="nl-NL"/>
        </w:rPr>
        <w:t>ï</w:t>
      </w:r>
      <w:r>
        <w:rPr>
          <w:rtl w:val="0"/>
          <w:lang w:val="nl-NL"/>
        </w:rPr>
        <w:t xml:space="preserve">mplementeerd en uiteindelijk worden overgedragen aan de exploitatie- en beheerorganisatie. Het cybersecuritydossier richt zich over de gehele life cycle van een object/asset vanaf de projectfase en op de situatie daarna, de onderhoud- en beheerfase. Het cybersecuritydossier vult zich tijdens het project (van PID tot en met de overdracht en het beheer) en dient in elke fase te worden goedgekeurd door de Cybersecurity Officer van de betrokken organisatie(-onderdeel). Het cybersecuritydossier </w:t>
      </w:r>
      <w:r>
        <w:rPr>
          <w:rtl w:val="1"/>
        </w:rPr>
        <w:t>‘</w:t>
      </w:r>
      <w:r>
        <w:rPr>
          <w:rtl w:val="0"/>
          <w:lang w:val="nl-NL"/>
        </w:rPr>
        <w:t>leeft mee</w:t>
      </w:r>
      <w:r>
        <w:rPr>
          <w:rtl w:val="1"/>
        </w:rPr>
        <w:t xml:space="preserve">’ </w:t>
      </w:r>
      <w:r>
        <w:rPr>
          <w:rtl w:val="0"/>
          <w:lang w:val="nl-NL"/>
        </w:rPr>
        <w:t>met de lifecycle van het OT-systeem.</w:t>
      </w:r>
      <w:r>
        <w:rPr>
          <w:rtl w:val="0"/>
          <w:lang w:val="nl-NL"/>
        </w:rPr>
        <w:t xml:space="preserve"> </w:t>
      </w:r>
      <w:r>
        <w:rPr>
          <w:rtl w:val="0"/>
          <w:lang w:val="nl-NL"/>
        </w:rPr>
        <w:t>Met de operatie wordt bedoeld de exploitatie- of gebruiksprocessen en de onderhouds- en beheerprocessen. De operationele beschrijving van de beoogde dagelijkse operatie is beschikbaar in de vorm van conops-, scenario- en/of procesbeschrijvingen. De cybersecuritymaatregelen dienen effectief en effici</w:t>
      </w:r>
      <w:r>
        <w:rPr>
          <w:rtl w:val="0"/>
          <w:lang w:val="nl-NL"/>
        </w:rPr>
        <w:t>ë</w:t>
      </w:r>
      <w:r>
        <w:rPr>
          <w:rtl w:val="0"/>
          <w:lang w:val="nl-NL"/>
        </w:rPr>
        <w:t>nt te zijn en gebaseerd op situationeel risicosturing: niet te veel, niet te weinig, waarbij de mitigatie van restrisico's een integraal onderdeel vormt van de set aan maatregelen. Lees [1].</w:t>
      </w:r>
      <w:r>
        <w:rPr>
          <w:rtl w:val="0"/>
          <w:lang w:val="nl-NL"/>
        </w:rPr>
        <w:t xml:space="preserve"> </w:t>
      </w:r>
      <w:r>
        <w:rPr>
          <w:rtl w:val="0"/>
          <w:lang w:val="nl-NL"/>
        </w:rPr>
        <w:t xml:space="preserve">De operationele performance-doelen </w:t>
      </w:r>
      <w:r>
        <w:rPr>
          <w:rtl w:val="0"/>
          <w:lang w:val="nl-NL"/>
        </w:rPr>
        <w:t>(kpi</w:t>
      </w:r>
      <w:r>
        <w:rPr>
          <w:rtl w:val="0"/>
          <w:lang w:val="nl-NL"/>
        </w:rPr>
        <w:t>’</w:t>
      </w:r>
      <w:r>
        <w:rPr>
          <w:rtl w:val="0"/>
          <w:lang w:val="nl-NL"/>
        </w:rPr>
        <w:t xml:space="preserve">s) </w:t>
      </w:r>
      <w:r>
        <w:rPr>
          <w:rtl w:val="0"/>
          <w:lang w:val="nl-NL"/>
        </w:rPr>
        <w:t>van de operatie en het systeem dienen reeds (elders) beschreven te zijn of dienen hier te worden afgeleid voor het aspect cybersecurity</w:t>
      </w:r>
      <w:r>
        <w:rPr>
          <w:rtl w:val="0"/>
          <w:lang w:val="nl-NL"/>
        </w:rPr>
        <w:t xml:space="preserve">; zie ook </w:t>
      </w:r>
      <w:r>
        <w:rPr>
          <w:rtl w:val="0"/>
          <w:lang w:val="nl-NL"/>
        </w:rPr>
        <w:t>[10] CS en KPI</w:t>
      </w:r>
      <w:r>
        <w:rPr>
          <w:rtl w:val="1"/>
        </w:rPr>
        <w:t>’</w:t>
      </w:r>
      <w:r>
        <w:rPr>
          <w:rtl w:val="0"/>
          <w:lang w:val="de-DE"/>
        </w:rPr>
        <w:t>s CEB-OVG-21172</w:t>
      </w:r>
      <w:r>
        <w:rPr>
          <w:rtl w:val="0"/>
          <w:lang w:val="nl-NL"/>
        </w:rPr>
        <w:t xml:space="preserve">. </w:t>
      </w:r>
      <w:r>
        <w:rPr>
          <w:rtl w:val="0"/>
          <w:lang w:val="nl-NL"/>
        </w:rPr>
        <w:t>Cybersecuritymanagement is een onderdeel van integraal assetmanagement en maakt (conditioneel) gebruik van processen als configuratie- en wijzigingenmanagement, simulatie/OTAP-omgeving, fysiek toegangsbeheer en gebouwbeheer.</w:t>
      </w:r>
    </w:p>
    <w:p>
      <w:pPr>
        <w:pStyle w:val="Normal.0"/>
      </w:pPr>
    </w:p>
    <w:p>
      <w:pPr>
        <w:pStyle w:val="heading 1"/>
      </w:pPr>
      <w:r>
        <w:rPr>
          <w:rFonts w:ascii="Arial Unicode MS" w:cs="Arial Unicode MS" w:hAnsi="Arial Unicode MS" w:eastAsia="Arial Unicode MS"/>
          <w:b w:val="0"/>
          <w:bCs w:val="0"/>
          <w:i w:val="0"/>
          <w:iCs w:val="0"/>
        </w:rPr>
        <w:br w:type="page"/>
      </w:r>
    </w:p>
    <w:p>
      <w:pPr>
        <w:pStyle w:val="heading 1"/>
        <w:numPr>
          <w:ilvl w:val="0"/>
          <w:numId w:val="2"/>
        </w:numPr>
      </w:pPr>
      <w:r>
        <w:rPr>
          <w:rtl w:val="0"/>
          <w:lang w:val="nl-NL"/>
        </w:rPr>
        <w:t>Scope</w:t>
      </w:r>
    </w:p>
    <w:p>
      <w:pPr>
        <w:pStyle w:val="Normal.0"/>
        <w:rPr>
          <w:i w:val="1"/>
          <w:iCs w:val="1"/>
          <w:sz w:val="18"/>
          <w:szCs w:val="18"/>
        </w:rPr>
      </w:pPr>
      <w:r>
        <w:rPr>
          <w:i w:val="1"/>
          <w:iCs w:val="1"/>
          <w:sz w:val="18"/>
          <w:szCs w:val="18"/>
          <w:rtl w:val="0"/>
          <w:lang w:val="nl-NL"/>
        </w:rPr>
        <w:t>Geef hier scope van systemen, organisatie(s) en de beoogde operatie c.q. de processen voor de exploitatie en het onderhoud. Geef de actoren die het systeem gebruiken en gaan onderhouden. Verwijs naar operationele beschrijvingen zoals con-ops, functionele beschrijving, usecases, swimming lanes en/of operationele processen.</w:t>
      </w:r>
    </w:p>
    <w:p>
      <w:pPr>
        <w:pStyle w:val="Normal.0"/>
      </w:pPr>
      <w:r>
        <w:rPr>
          <w:rtl w:val="0"/>
        </w:rPr>
        <w:t>...#</w:t>
      </w:r>
    </w:p>
    <w:p>
      <w:pPr>
        <w:pStyle w:val="heading 1"/>
        <w:numPr>
          <w:ilvl w:val="0"/>
          <w:numId w:val="2"/>
        </w:numPr>
      </w:pPr>
      <w:r>
        <w:rPr>
          <w:rtl w:val="0"/>
          <w:lang w:val="nl-NL"/>
        </w:rPr>
        <w:t>Cybersecuritydoelen en -eisen</w:t>
      </w:r>
    </w:p>
    <w:p>
      <w:pPr>
        <w:pStyle w:val="Normal.0"/>
        <w:rPr>
          <w:i w:val="1"/>
          <w:iCs w:val="1"/>
          <w:sz w:val="18"/>
          <w:szCs w:val="18"/>
        </w:rPr>
      </w:pPr>
      <w:r>
        <w:rPr>
          <w:i w:val="1"/>
          <w:iCs w:val="1"/>
          <w:sz w:val="18"/>
          <w:szCs w:val="18"/>
          <w:rtl w:val="0"/>
          <w:lang w:val="nl-NL"/>
        </w:rPr>
        <w:t>Geef hier weer</w:t>
      </w:r>
      <w:r>
        <w:rPr>
          <w:i w:val="1"/>
          <w:iCs w:val="1"/>
          <w:sz w:val="18"/>
          <w:szCs w:val="18"/>
          <w:rtl w:val="0"/>
          <w:lang w:val="nl-NL"/>
        </w:rPr>
        <w:t xml:space="preserve"> of verwijs naar betrokken documenten</w:t>
      </w:r>
      <w:r>
        <w:rPr>
          <w:i w:val="1"/>
          <w:iCs w:val="1"/>
          <w:sz w:val="18"/>
          <w:szCs w:val="18"/>
          <w:rtl w:val="0"/>
          <w:lang w:val="nl-NL"/>
        </w:rPr>
        <w:t xml:space="preserve">: </w:t>
      </w:r>
      <w:r>
        <w:rPr>
          <w:i w:val="1"/>
          <w:iCs w:val="1"/>
          <w:sz w:val="18"/>
          <w:szCs w:val="18"/>
          <w:rtl w:val="0"/>
          <w:lang w:val="nl-NL"/>
        </w:rPr>
        <w:t xml:space="preserve">1. </w:t>
      </w:r>
      <w:r>
        <w:rPr>
          <w:i w:val="1"/>
          <w:iCs w:val="1"/>
          <w:sz w:val="18"/>
          <w:szCs w:val="18"/>
          <w:rtl w:val="0"/>
          <w:lang w:val="nl-NL"/>
        </w:rPr>
        <w:t>De operationele doelstellingen voor Veiligheid (safety), Beschikbaarheid (van de Operatie) en Privacy en de afgeleide cybersecuritydoelen: Beschikbaarheid (van het Systeem) en Integriteit, Vertrouwelijkheid, bij voorkeur in kwantitatieve vorm, bijvoorbeeld in termen van VUS/BOGT</w:t>
      </w:r>
      <w:r>
        <w:rPr>
          <w:i w:val="1"/>
          <w:iCs w:val="1"/>
          <w:sz w:val="18"/>
          <w:szCs w:val="18"/>
          <w:rtl w:val="0"/>
          <w:lang w:val="nl-NL"/>
        </w:rPr>
        <w:t xml:space="preserve">; 2. </w:t>
      </w:r>
      <w:r>
        <w:rPr>
          <w:i w:val="1"/>
          <w:iCs w:val="1"/>
          <w:sz w:val="18"/>
          <w:szCs w:val="18"/>
          <w:rtl w:val="0"/>
          <w:lang w:val="nl-NL"/>
        </w:rPr>
        <w:t>De afgeleide performance eisen, veelal uit te drukken in het aantal en gradaties/omvang van incidenten die per jaar als acceptabel is/wordt aangemerkt</w:t>
      </w:r>
      <w:r>
        <w:rPr>
          <w:i w:val="1"/>
          <w:iCs w:val="1"/>
          <w:sz w:val="18"/>
          <w:szCs w:val="18"/>
          <w:rtl w:val="0"/>
          <w:lang w:val="nl-NL"/>
        </w:rPr>
        <w:t xml:space="preserve">; 3. </w:t>
      </w:r>
      <w:r>
        <w:rPr>
          <w:i w:val="1"/>
          <w:iCs w:val="1"/>
          <w:sz w:val="18"/>
          <w:szCs w:val="18"/>
          <w:rtl w:val="0"/>
          <w:lang w:val="nl-NL"/>
        </w:rPr>
        <w:t>Welke wettelijke grondslag(en) die van toepassing is(zijn) en hoe cybersecurity daaraan bijdraagt.</w:t>
      </w:r>
      <w:r>
        <w:rPr>
          <w:i w:val="1"/>
          <w:iCs w:val="1"/>
          <w:sz w:val="18"/>
          <w:szCs w:val="18"/>
          <w:rtl w:val="0"/>
          <w:lang w:val="nl-NL"/>
        </w:rPr>
        <w:t xml:space="preserve"> </w:t>
      </w:r>
      <w:r>
        <w:rPr>
          <w:i w:val="1"/>
          <w:iCs w:val="1"/>
          <w:sz w:val="18"/>
          <w:szCs w:val="18"/>
          <w:rtl w:val="0"/>
          <w:lang w:val="nl-NL"/>
        </w:rPr>
        <w:t xml:space="preserve">Zie ook </w:t>
      </w:r>
      <w:r>
        <w:rPr>
          <w:i w:val="1"/>
          <w:iCs w:val="1"/>
          <w:sz w:val="18"/>
          <w:szCs w:val="18"/>
          <w:rtl w:val="0"/>
          <w:lang w:val="nl-NL"/>
        </w:rPr>
        <w:t>[10].</w:t>
      </w:r>
    </w:p>
    <w:p>
      <w:pPr>
        <w:pStyle w:val="Normal.0"/>
      </w:pPr>
      <w:r>
        <w:rPr>
          <w:rtl w:val="0"/>
        </w:rPr>
        <w:t>...#</w:t>
      </w:r>
    </w:p>
    <w:p>
      <w:pPr>
        <w:pStyle w:val="heading 1"/>
        <w:numPr>
          <w:ilvl w:val="0"/>
          <w:numId w:val="3"/>
        </w:numPr>
      </w:pPr>
      <w:r>
        <w:rPr>
          <w:rtl w:val="0"/>
          <w:lang w:val="nl-NL"/>
        </w:rPr>
        <w:t>Cybersecurityorganisatie</w:t>
      </w:r>
    </w:p>
    <w:p>
      <w:pPr>
        <w:pStyle w:val="Normal.0"/>
        <w:rPr>
          <w:i w:val="1"/>
          <w:iCs w:val="1"/>
          <w:sz w:val="18"/>
          <w:szCs w:val="18"/>
        </w:rPr>
      </w:pPr>
      <w:r>
        <w:rPr>
          <w:i w:val="1"/>
          <w:iCs w:val="1"/>
          <w:sz w:val="18"/>
          <w:szCs w:val="18"/>
          <w:rtl w:val="0"/>
          <w:lang w:val="nl-NL"/>
        </w:rPr>
        <w:t>Geef hier aan hoe cybersecurity georganiseerd is voor het project en hoe het straks dient te worden georganiseerd voor de operatie. Geef aan met welke rollen en verantwoordelijkheden, opdrachtgever, beheerder, leveranciers en onderaannemers betrokken zijn en hoe de ketensamenwerking is geborgd.</w:t>
      </w:r>
    </w:p>
    <w:p>
      <w:pPr>
        <w:pStyle w:val="Normal.0"/>
      </w:pPr>
      <w:r>
        <w:rPr>
          <w:rtl w:val="0"/>
        </w:rPr>
        <w:t>...#</w:t>
      </w:r>
    </w:p>
    <w:p>
      <w:pPr>
        <w:pStyle w:val="heading 1"/>
        <w:numPr>
          <w:ilvl w:val="0"/>
          <w:numId w:val="2"/>
        </w:numPr>
      </w:pPr>
      <w:r>
        <w:rPr>
          <w:rtl w:val="0"/>
          <w:lang w:val="nl-NL"/>
        </w:rPr>
        <w:t>Vertrouwelijkheid en beveiligde opslag</w:t>
      </w:r>
    </w:p>
    <w:p>
      <w:pPr>
        <w:pStyle w:val="Normal.0"/>
        <w:rPr>
          <w:i w:val="1"/>
          <w:iCs w:val="1"/>
          <w:sz w:val="18"/>
          <w:szCs w:val="18"/>
        </w:rPr>
      </w:pPr>
      <w:r>
        <w:rPr>
          <w:i w:val="1"/>
          <w:iCs w:val="1"/>
          <w:sz w:val="18"/>
          <w:szCs w:val="18"/>
          <w:rtl w:val="0"/>
          <w:lang w:val="nl-NL"/>
        </w:rPr>
        <w:t>Vertrouwelijke cybersecurity-informatie is informatie over cybersecurity-kwetsbaarheden en/of maatregelen daartegen. Geef aan hoe vertrouwelijke informatie beveiligd wordt opgeslagen en gedeeld tijdens het project en in het samenwerken met alle betrokken stakeholders. Geef aan hoe Vertrouwelijkheidsverklaringen worden gebruikt. Geef aan hoe de beveiligde informatie opgeslagen wordt en gedeeld wordt tussen betrokkenen tijdens project en daarna voor de operatiefase. Cre</w:t>
      </w:r>
      <w:r>
        <w:rPr>
          <w:i w:val="1"/>
          <w:iCs w:val="1"/>
          <w:sz w:val="18"/>
          <w:szCs w:val="18"/>
          <w:rtl w:val="0"/>
          <w:lang w:val="nl-NL"/>
        </w:rPr>
        <w:t>ë</w:t>
      </w:r>
      <w:r>
        <w:rPr>
          <w:i w:val="1"/>
          <w:iCs w:val="1"/>
          <w:sz w:val="18"/>
          <w:szCs w:val="18"/>
          <w:rtl w:val="0"/>
          <w:lang w:val="nl-NL"/>
        </w:rPr>
        <w:t>er aandacht voor de vertrouwelijkheid in het wijzigingenproces.</w:t>
      </w:r>
    </w:p>
    <w:p>
      <w:pPr>
        <w:pStyle w:val="Normal.0"/>
      </w:pPr>
      <w:r>
        <w:rPr>
          <w:rtl w:val="0"/>
        </w:rPr>
        <w:t>...#</w:t>
      </w:r>
      <w:r>
        <w:rPr>
          <w:rtl w:val="0"/>
        </w:rPr>
        <w:t>[5] Vertrouwelijkheid MET, CEB/OVG/20264</w:t>
      </w:r>
    </w:p>
    <w:p>
      <w:pPr>
        <w:pStyle w:val="heading 1"/>
        <w:numPr>
          <w:ilvl w:val="0"/>
          <w:numId w:val="2"/>
        </w:numPr>
      </w:pPr>
      <w:r>
        <w:rPr>
          <w:rtl w:val="0"/>
          <w:lang w:val="nl-NL"/>
        </w:rPr>
        <w:t>Cybersecurityrisicomanagement</w:t>
      </w:r>
    </w:p>
    <w:p>
      <w:pPr>
        <w:pStyle w:val="Normal.0"/>
        <w:rPr>
          <w:i w:val="1"/>
          <w:iCs w:val="1"/>
          <w:sz w:val="18"/>
          <w:szCs w:val="18"/>
        </w:rPr>
      </w:pPr>
      <w:r>
        <w:rPr>
          <w:i w:val="1"/>
          <w:iCs w:val="1"/>
          <w:sz w:val="18"/>
          <w:szCs w:val="18"/>
          <w:rtl w:val="0"/>
          <w:lang w:val="nl-NL"/>
        </w:rPr>
        <w:t>Geef hier weer</w:t>
      </w:r>
      <w:r>
        <w:rPr>
          <w:i w:val="1"/>
          <w:iCs w:val="1"/>
          <w:sz w:val="18"/>
          <w:szCs w:val="18"/>
          <w:rtl w:val="0"/>
          <w:lang w:val="nl-NL"/>
        </w:rPr>
        <w:t xml:space="preserve"> of verwijs naar de betrokken documenten: </w:t>
      </w:r>
      <w:r>
        <w:rPr>
          <w:i w:val="1"/>
          <w:iCs w:val="1"/>
          <w:sz w:val="18"/>
          <w:szCs w:val="18"/>
          <w:rtl w:val="0"/>
          <w:lang w:val="nl-NL"/>
        </w:rPr>
        <w:t xml:space="preserve">Het dreigingsbeeld voor het betrokken systeem in de beoogde operatie; </w:t>
      </w:r>
      <w:r>
        <w:rPr>
          <w:i w:val="1"/>
          <w:iCs w:val="1"/>
          <w:sz w:val="18"/>
          <w:szCs w:val="18"/>
          <w:rtl w:val="0"/>
          <w:lang w:val="nl-NL"/>
        </w:rPr>
        <w:t>m</w:t>
      </w:r>
      <w:r>
        <w:rPr>
          <w:i w:val="1"/>
          <w:iCs w:val="1"/>
          <w:sz w:val="18"/>
          <w:szCs w:val="18"/>
          <w:rtl w:val="0"/>
          <w:lang w:val="nl-NL"/>
        </w:rPr>
        <w:t>aak gebruik van [1]</w:t>
      </w:r>
      <w:r>
        <w:rPr>
          <w:i w:val="1"/>
          <w:iCs w:val="1"/>
          <w:sz w:val="18"/>
          <w:szCs w:val="18"/>
          <w:rtl w:val="0"/>
          <w:lang w:val="nl-NL"/>
        </w:rPr>
        <w:t xml:space="preserve">; </w:t>
      </w:r>
      <w:r>
        <w:rPr>
          <w:i w:val="1"/>
          <w:iCs w:val="1"/>
          <w:sz w:val="18"/>
          <w:szCs w:val="18"/>
          <w:rtl w:val="0"/>
          <w:lang w:val="nl-NL"/>
        </w:rPr>
        <w:t>Leid hiervan een set van re</w:t>
      </w:r>
      <w:r>
        <w:rPr>
          <w:i w:val="1"/>
          <w:iCs w:val="1"/>
          <w:sz w:val="18"/>
          <w:szCs w:val="18"/>
          <w:rtl w:val="0"/>
          <w:lang w:val="nl-NL"/>
        </w:rPr>
        <w:t>ë</w:t>
      </w:r>
      <w:r>
        <w:rPr>
          <w:i w:val="1"/>
          <w:iCs w:val="1"/>
          <w:sz w:val="18"/>
          <w:szCs w:val="18"/>
          <w:rtl w:val="0"/>
          <w:lang w:val="nl-NL"/>
        </w:rPr>
        <w:t>le hazards af en geef aan wat de kans is dat die optreden;</w:t>
      </w:r>
      <w:r>
        <w:rPr>
          <w:i w:val="1"/>
          <w:iCs w:val="1"/>
          <w:sz w:val="18"/>
          <w:szCs w:val="18"/>
          <w:rtl w:val="0"/>
          <w:lang w:val="nl-NL"/>
        </w:rPr>
        <w:t xml:space="preserve"> </w:t>
      </w:r>
      <w:r>
        <w:rPr>
          <w:i w:val="1"/>
          <w:iCs w:val="1"/>
          <w:sz w:val="18"/>
          <w:szCs w:val="18"/>
          <w:rtl w:val="0"/>
          <w:lang w:val="nl-NL"/>
        </w:rPr>
        <w:t xml:space="preserve">Relateer de hazards aan de cybersecuritydoelen zoals hierboven genoemd; Vermeld welke technische en organisatorische maatregelen nodig zijn om tot een acceptabel cybersecurity-niveau te komen. Geef aan hoe de specifieke maatregelen in het integrale ontwerpproces zijn gekozen uit de generieke maatregelen de cybersecurityeisen </w:t>
      </w:r>
      <w:r>
        <w:rPr>
          <w:i w:val="1"/>
          <w:iCs w:val="1"/>
          <w:sz w:val="18"/>
          <w:szCs w:val="18"/>
          <w:rtl w:val="0"/>
          <w:lang w:val="nl-NL"/>
        </w:rPr>
        <w:t xml:space="preserve">OT </w:t>
      </w:r>
      <w:r>
        <w:rPr>
          <w:i w:val="1"/>
          <w:iCs w:val="1"/>
          <w:sz w:val="18"/>
          <w:szCs w:val="18"/>
          <w:rtl w:val="0"/>
          <w:lang w:val="nl-NL"/>
        </w:rPr>
        <w:t>[2]</w:t>
      </w:r>
      <w:r>
        <w:rPr>
          <w:i w:val="1"/>
          <w:iCs w:val="1"/>
          <w:sz w:val="18"/>
          <w:szCs w:val="18"/>
          <w:rtl w:val="0"/>
          <w:lang w:val="nl-NL"/>
        </w:rPr>
        <w:t xml:space="preserve">; </w:t>
      </w:r>
      <w:r>
        <w:rPr>
          <w:i w:val="1"/>
          <w:iCs w:val="1"/>
          <w:sz w:val="18"/>
          <w:szCs w:val="18"/>
          <w:rtl w:val="0"/>
          <w:lang w:val="nl-NL"/>
        </w:rPr>
        <w:t>Noem welke acceptabele restrisico</w:t>
      </w:r>
      <w:r>
        <w:rPr>
          <w:i w:val="1"/>
          <w:iCs w:val="1"/>
          <w:sz w:val="18"/>
          <w:szCs w:val="18"/>
          <w:rtl w:val="0"/>
          <w:lang w:val="nl-NL"/>
        </w:rPr>
        <w:t>’</w:t>
      </w:r>
      <w:r>
        <w:rPr>
          <w:i w:val="1"/>
          <w:iCs w:val="1"/>
          <w:sz w:val="18"/>
          <w:szCs w:val="18"/>
          <w:rtl w:val="0"/>
          <w:lang w:val="nl-NL"/>
        </w:rPr>
        <w:t>s er zijn en hoe die restrisico's dienen te worden gemitigeerd door gebruikers en onderhouders tijdens de operatiefase, al of niet door gebruik te maken van specifieke systemen/tools</w:t>
      </w:r>
      <w:r>
        <w:rPr>
          <w:i w:val="1"/>
          <w:iCs w:val="1"/>
          <w:sz w:val="18"/>
          <w:szCs w:val="18"/>
          <w:rtl w:val="0"/>
          <w:lang w:val="nl-NL"/>
        </w:rPr>
        <w:t xml:space="preserve">; </w:t>
      </w:r>
      <w:r>
        <w:rPr>
          <w:i w:val="1"/>
          <w:iCs w:val="1"/>
          <w:sz w:val="18"/>
          <w:szCs w:val="18"/>
          <w:rtl w:val="0"/>
          <w:lang w:val="nl-NL"/>
        </w:rPr>
        <w:t>Geef weer hoe de afstemming met de opdrachtgever en de toekomstige exploitant en beheerder heeft plaatsgevonden over de operationele effecten van de restrisico</w:t>
      </w:r>
      <w:r>
        <w:rPr>
          <w:i w:val="1"/>
          <w:iCs w:val="1"/>
          <w:sz w:val="18"/>
          <w:szCs w:val="18"/>
          <w:rtl w:val="0"/>
          <w:lang w:val="nl-NL"/>
        </w:rPr>
        <w:t>’</w:t>
      </w:r>
      <w:r>
        <w:rPr>
          <w:i w:val="1"/>
          <w:iCs w:val="1"/>
          <w:sz w:val="18"/>
          <w:szCs w:val="18"/>
          <w:rtl w:val="0"/>
          <w:lang w:val="nl-NL"/>
        </w:rPr>
        <w:t>s en de maatregelen tegen.</w:t>
      </w:r>
      <w:r>
        <w:rPr>
          <w:i w:val="1"/>
          <w:iCs w:val="1"/>
          <w:sz w:val="18"/>
          <w:szCs w:val="18"/>
          <w:rtl w:val="0"/>
          <w:lang w:val="nl-NL"/>
        </w:rPr>
        <w:t xml:space="preserve"> </w:t>
      </w:r>
      <w:r>
        <w:rPr>
          <w:i w:val="1"/>
          <w:iCs w:val="1"/>
          <w:sz w:val="18"/>
          <w:szCs w:val="18"/>
          <w:rtl w:val="0"/>
          <w:lang w:val="nl-NL"/>
        </w:rPr>
        <w:t>Cre</w:t>
      </w:r>
      <w:r>
        <w:rPr>
          <w:i w:val="1"/>
          <w:iCs w:val="1"/>
          <w:sz w:val="18"/>
          <w:szCs w:val="18"/>
          <w:rtl w:val="0"/>
          <w:lang w:val="nl-NL"/>
        </w:rPr>
        <w:t>ë</w:t>
      </w:r>
      <w:r>
        <w:rPr>
          <w:i w:val="1"/>
          <w:iCs w:val="1"/>
          <w:sz w:val="18"/>
          <w:szCs w:val="18"/>
          <w:rtl w:val="0"/>
          <w:lang w:val="nl-NL"/>
        </w:rPr>
        <w:t>er aandacht voor de (herevaluatie van de) cybersecurityaspecten bij wijzigingen tijdens het project en bij changes in de beheerfase.</w:t>
      </w:r>
      <w:r>
        <w:rPr>
          <w:i w:val="1"/>
          <w:iCs w:val="1"/>
          <w:sz w:val="18"/>
          <w:szCs w:val="18"/>
          <w:rtl w:val="0"/>
          <w:lang w:val="nl-NL"/>
        </w:rPr>
        <w:t xml:space="preserve"> </w:t>
      </w:r>
      <w:r>
        <w:rPr>
          <w:i w:val="1"/>
          <w:iCs w:val="1"/>
          <w:sz w:val="18"/>
          <w:szCs w:val="18"/>
          <w:rtl w:val="0"/>
          <w:lang w:val="nl-NL"/>
        </w:rPr>
        <w:t>Geef aan hoe de cybersecurityrisicoanalyse en maatregelen beoordeeld worden door de Cybersecurity board MET/GVB tijdens de projectfasen en voor de overdracht. Zie [1].</w:t>
      </w:r>
    </w:p>
    <w:p>
      <w:pPr>
        <w:pStyle w:val="Normal.0"/>
      </w:pPr>
      <w:r>
        <w:rPr>
          <w:rtl w:val="0"/>
        </w:rPr>
        <w:t>...#</w:t>
      </w:r>
    </w:p>
    <w:p>
      <w:pPr>
        <w:pStyle w:val="heading 1"/>
        <w:numPr>
          <w:ilvl w:val="0"/>
          <w:numId w:val="4"/>
        </w:numPr>
      </w:pPr>
      <w:r>
        <w:rPr>
          <w:rtl w:val="0"/>
          <w:lang w:val="nl-NL"/>
        </w:rPr>
        <w:t>Cybersecurity voor de operatiefase</w:t>
      </w:r>
    </w:p>
    <w:p>
      <w:pPr>
        <w:pStyle w:val="Normal.0"/>
        <w:rPr>
          <w:i w:val="1"/>
          <w:iCs w:val="1"/>
          <w:sz w:val="18"/>
          <w:szCs w:val="18"/>
        </w:rPr>
      </w:pPr>
      <w:r>
        <w:rPr>
          <w:i w:val="1"/>
          <w:iCs w:val="1"/>
          <w:sz w:val="18"/>
          <w:szCs w:val="18"/>
          <w:rtl w:val="0"/>
          <w:lang w:val="nl-NL"/>
        </w:rPr>
        <w:t xml:space="preserve">Geef een expliciet overzicht van de over te dragen middelen, contracten, instructies en verantwoordelijkheden (of te adviseren en te (laten) inrichten) en de wijze waarop de overdracht plaatstvindt, betreffende </w:t>
      </w:r>
      <w:r>
        <w:rPr>
          <w:i w:val="1"/>
          <w:iCs w:val="1"/>
          <w:sz w:val="18"/>
          <w:szCs w:val="18"/>
          <w:rtl w:val="0"/>
          <w:lang w:val="nl-NL"/>
        </w:rPr>
        <w:t xml:space="preserve">(niet limitatief) </w:t>
      </w:r>
      <w:r>
        <w:rPr>
          <w:i w:val="1"/>
          <w:iCs w:val="1"/>
          <w:sz w:val="18"/>
          <w:szCs w:val="18"/>
          <w:rtl w:val="0"/>
          <w:lang w:val="en-US"/>
        </w:rPr>
        <w:t>monitoringinstrumenten en opvolgingsprocessen</w:t>
      </w:r>
      <w:r>
        <w:rPr>
          <w:i w:val="1"/>
          <w:iCs w:val="1"/>
          <w:sz w:val="18"/>
          <w:szCs w:val="18"/>
          <w:rtl w:val="0"/>
          <w:lang w:val="en-US"/>
        </w:rPr>
        <w:t xml:space="preserve">; </w:t>
      </w:r>
      <w:r>
        <w:rPr>
          <w:i w:val="1"/>
          <w:iCs w:val="1"/>
          <w:sz w:val="18"/>
          <w:szCs w:val="18"/>
          <w:rtl w:val="0"/>
          <w:lang w:val="en-US"/>
        </w:rPr>
        <w:t>incidentmanagementproces (inclusief mitigatie- en herstel)</w:t>
      </w:r>
      <w:r>
        <w:rPr>
          <w:i w:val="1"/>
          <w:iCs w:val="1"/>
          <w:sz w:val="18"/>
          <w:szCs w:val="18"/>
          <w:rtl w:val="0"/>
          <w:lang w:val="en-US"/>
        </w:rPr>
        <w:t xml:space="preserve">; de </w:t>
      </w:r>
      <w:r>
        <w:rPr>
          <w:i w:val="1"/>
          <w:iCs w:val="1"/>
          <w:sz w:val="18"/>
          <w:szCs w:val="18"/>
          <w:rtl w:val="0"/>
          <w:lang w:val="nl-NL"/>
        </w:rPr>
        <w:t>instructies</w:t>
      </w:r>
      <w:r>
        <w:rPr>
          <w:i w:val="1"/>
          <w:iCs w:val="1"/>
          <w:sz w:val="18"/>
          <w:szCs w:val="18"/>
          <w:rtl w:val="0"/>
          <w:lang w:val="nl-NL"/>
        </w:rPr>
        <w:t>/procedures</w:t>
      </w:r>
      <w:r>
        <w:rPr>
          <w:i w:val="1"/>
          <w:iCs w:val="1"/>
          <w:sz w:val="18"/>
          <w:szCs w:val="18"/>
          <w:rtl w:val="0"/>
          <w:lang w:val="nl-NL"/>
        </w:rPr>
        <w:t xml:space="preserve"> om restrisico's te mitigeren tijdens de operatie</w:t>
      </w:r>
      <w:r>
        <w:rPr>
          <w:i w:val="1"/>
          <w:iCs w:val="1"/>
          <w:sz w:val="18"/>
          <w:szCs w:val="18"/>
          <w:rtl w:val="0"/>
          <w:lang w:val="nl-NL"/>
        </w:rPr>
        <w:t xml:space="preserve">; het </w:t>
      </w:r>
      <w:r>
        <w:rPr>
          <w:i w:val="1"/>
          <w:iCs w:val="1"/>
          <w:sz w:val="18"/>
          <w:szCs w:val="18"/>
          <w:rtl w:val="0"/>
          <w:lang w:val="en-US"/>
        </w:rPr>
        <w:t>oefenen van mitigatie- en herstelprocessen</w:t>
      </w:r>
      <w:r>
        <w:rPr>
          <w:i w:val="1"/>
          <w:iCs w:val="1"/>
          <w:sz w:val="18"/>
          <w:szCs w:val="18"/>
          <w:rtl w:val="0"/>
          <w:lang w:val="en-US"/>
        </w:rPr>
        <w:t xml:space="preserve">; </w:t>
      </w:r>
      <w:r>
        <w:rPr>
          <w:i w:val="1"/>
          <w:iCs w:val="1"/>
          <w:sz w:val="18"/>
          <w:szCs w:val="18"/>
          <w:rtl w:val="0"/>
          <w:lang w:val="nl-NL"/>
        </w:rPr>
        <w:t xml:space="preserve">de periodiciteit van de evaluatie van </w:t>
      </w:r>
      <w:r>
        <w:rPr>
          <w:i w:val="1"/>
          <w:iCs w:val="1"/>
          <w:sz w:val="18"/>
          <w:szCs w:val="18"/>
          <w:rtl w:val="0"/>
          <w:lang w:val="en-US"/>
        </w:rPr>
        <w:t>het cyberdreigingsbeeld (en cyberhazards)</w:t>
      </w:r>
      <w:r>
        <w:rPr>
          <w:i w:val="1"/>
          <w:iCs w:val="1"/>
          <w:sz w:val="18"/>
          <w:szCs w:val="18"/>
          <w:rtl w:val="0"/>
          <w:lang w:val="en-US"/>
        </w:rPr>
        <w:t xml:space="preserve">; </w:t>
      </w:r>
      <w:r>
        <w:rPr>
          <w:i w:val="1"/>
          <w:iCs w:val="1"/>
          <w:sz w:val="18"/>
          <w:szCs w:val="18"/>
          <w:rtl w:val="0"/>
          <w:lang w:val="en-US"/>
        </w:rPr>
        <w:t xml:space="preserve">de gerelateerde cybersecuritydoelen en de cybersecurityrisicoanalyse en restrisico's en </w:t>
      </w:r>
      <w:r>
        <w:rPr>
          <w:i w:val="1"/>
          <w:iCs w:val="1"/>
          <w:sz w:val="18"/>
          <w:szCs w:val="18"/>
          <w:rtl w:val="0"/>
          <w:lang w:val="nl-NL"/>
        </w:rPr>
        <w:t>de (technisch en organisatorisch) maatregelen.</w:t>
      </w:r>
    </w:p>
    <w:p>
      <w:pPr>
        <w:pStyle w:val="Normal.0"/>
      </w:pPr>
      <w:r>
        <w:rPr>
          <w:rtl w:val="0"/>
        </w:rPr>
        <w:t>...#</w:t>
      </w:r>
    </w:p>
    <w:p>
      <w:pPr>
        <w:pStyle w:val="Normal.0"/>
      </w:pPr>
    </w:p>
    <w:p>
      <w:pPr>
        <w:pStyle w:val="heading 1"/>
      </w:pPr>
      <w:r>
        <w:rPr>
          <w:rFonts w:ascii="Arial Unicode MS" w:cs="Arial Unicode MS" w:hAnsi="Arial Unicode MS" w:eastAsia="Arial Unicode MS"/>
          <w:b w:val="0"/>
          <w:bCs w:val="0"/>
          <w:i w:val="0"/>
          <w:iCs w:val="0"/>
        </w:rPr>
        <w:br w:type="page"/>
      </w:r>
    </w:p>
    <w:p>
      <w:pPr>
        <w:pStyle w:val="heading 1"/>
        <w:numPr>
          <w:ilvl w:val="0"/>
          <w:numId w:val="5"/>
        </w:numPr>
      </w:pPr>
      <w:r>
        <w:rPr>
          <w:rtl w:val="0"/>
          <w:lang w:val="nl-NL"/>
        </w:rPr>
        <w:t>Bronnen en referenties</w:t>
      </w:r>
    </w:p>
    <w:p>
      <w:pPr>
        <w:pStyle w:val="Normal.0"/>
      </w:pPr>
      <w:r>
        <w:rPr>
          <w:rtl w:val="0"/>
          <w:lang w:val="nl-NL"/>
        </w:rPr>
        <w:t xml:space="preserve">[1] CEB-OVG-18786, </w:t>
      </w:r>
      <w:r>
        <w:rPr>
          <w:rtl w:val="0"/>
          <w:lang w:val="nl-NL"/>
        </w:rPr>
        <w:t>CS-</w:t>
      </w:r>
      <w:r>
        <w:rPr>
          <w:rtl w:val="0"/>
          <w:lang w:val="nl-NL"/>
        </w:rPr>
        <w:t>risicomanagement</w:t>
      </w:r>
      <w:r>
        <w:rPr>
          <w:rtl w:val="0"/>
          <w:lang w:val="nl-NL"/>
        </w:rPr>
        <w:t xml:space="preserve"> OT</w:t>
      </w:r>
    </w:p>
    <w:p>
      <w:pPr>
        <w:pStyle w:val="Normal.0"/>
      </w:pPr>
    </w:p>
    <w:p>
      <w:pPr>
        <w:pStyle w:val="Normal.0"/>
      </w:pPr>
      <w:r>
        <w:rPr>
          <w:rtl w:val="0"/>
          <w:lang w:val="nl-NL"/>
        </w:rPr>
        <w:t>[2] Cybersecuritybeleid MET, CEB-OVG-20961</w:t>
      </w:r>
    </w:p>
    <w:p>
      <w:pPr>
        <w:pStyle w:val="Normal.0"/>
      </w:pPr>
    </w:p>
    <w:p>
      <w:pPr>
        <w:pStyle w:val="Normal.0"/>
        <w:rPr>
          <w:lang w:val="en-US"/>
        </w:rPr>
      </w:pPr>
      <w:r>
        <w:rPr>
          <w:rtl w:val="0"/>
          <w:lang w:val="en-US"/>
        </w:rPr>
        <w:t>[3] Integrale incidentmanagementprocedure cybersecurity, CEB-OVG-20126</w:t>
      </w:r>
    </w:p>
    <w:p>
      <w:pPr>
        <w:pStyle w:val="Normal.0"/>
        <w:rPr>
          <w:lang w:val="en-US"/>
        </w:rPr>
      </w:pPr>
    </w:p>
    <w:p>
      <w:pPr>
        <w:pStyle w:val="Normal.0"/>
      </w:pPr>
      <w:r>
        <w:rPr>
          <w:rtl w:val="0"/>
          <w:lang w:val="nl-NL"/>
        </w:rPr>
        <w:t xml:space="preserve">[4] </w:t>
      </w:r>
      <w:r>
        <w:rPr>
          <w:rtl w:val="0"/>
          <w:lang w:val="nl-NL"/>
        </w:rPr>
        <w:t>-</w:t>
      </w:r>
    </w:p>
    <w:p>
      <w:pPr>
        <w:pStyle w:val="Normal.0"/>
      </w:pPr>
    </w:p>
    <w:p>
      <w:pPr>
        <w:pStyle w:val="Normal.0"/>
      </w:pPr>
      <w:r>
        <w:rPr>
          <w:rtl w:val="0"/>
          <w:lang w:val="nl-NL"/>
        </w:rPr>
        <w:t xml:space="preserve">[5] Vertrouwelijkheid MET, </w:t>
      </w:r>
      <w:r>
        <w:rPr>
          <w:rtl w:val="0"/>
          <w:lang w:val="de-DE"/>
        </w:rPr>
        <w:t>CEB/OVG/20264</w:t>
      </w:r>
    </w:p>
    <w:p>
      <w:pPr>
        <w:pStyle w:val="Normal.0"/>
      </w:pPr>
    </w:p>
    <w:p>
      <w:pPr>
        <w:pStyle w:val="Normal.0"/>
      </w:pPr>
      <w:r>
        <w:rPr>
          <w:rtl w:val="0"/>
          <w:lang w:val="nl-NL"/>
        </w:rPr>
        <w:t>[6] Cybersecurityeisen OT MET, CEB/OVG/18908</w:t>
      </w:r>
    </w:p>
    <w:p>
      <w:pPr>
        <w:pStyle w:val="Normal.0"/>
      </w:pPr>
    </w:p>
    <w:p>
      <w:pPr>
        <w:pStyle w:val="Normal.0"/>
      </w:pPr>
      <w:r>
        <w:rPr>
          <w:rtl w:val="0"/>
          <w:lang w:val="nl-NL"/>
        </w:rPr>
        <w:t xml:space="preserve">[7] </w:t>
      </w:r>
      <w:r>
        <w:rPr>
          <w:rtl w:val="0"/>
          <w:lang w:val="nl-NL"/>
        </w:rPr>
        <w:t>CS-</w:t>
      </w:r>
      <w:r>
        <w:rPr>
          <w:rtl w:val="0"/>
          <w:lang w:val="nl-NL"/>
        </w:rPr>
        <w:t>dossier</w:t>
      </w:r>
      <w:r>
        <w:rPr>
          <w:rtl w:val="0"/>
          <w:lang w:val="nl-NL"/>
        </w:rPr>
        <w:t xml:space="preserve"> sjabloon</w:t>
      </w:r>
      <w:r>
        <w:rPr>
          <w:rtl w:val="0"/>
          <w:lang w:val="nl-NL"/>
        </w:rPr>
        <w:t xml:space="preserve">, </w:t>
      </w:r>
      <w:r>
        <w:rPr>
          <w:rtl w:val="0"/>
          <w:lang w:val="de-DE"/>
        </w:rPr>
        <w:t>CEB/OVG/20265</w:t>
      </w:r>
    </w:p>
    <w:p>
      <w:pPr>
        <w:pStyle w:val="Normal.0"/>
      </w:pPr>
    </w:p>
    <w:p>
      <w:pPr>
        <w:pStyle w:val="Normal.0"/>
      </w:pPr>
      <w:r>
        <w:rPr>
          <w:rtl w:val="0"/>
          <w:lang w:val="nl-NL"/>
        </w:rPr>
        <w:t xml:space="preserve">[8] </w:t>
      </w:r>
      <w:r>
        <w:rPr>
          <w:rtl w:val="0"/>
          <w:lang w:val="nl-NL"/>
        </w:rPr>
        <w:t>-</w:t>
      </w:r>
    </w:p>
    <w:p>
      <w:pPr>
        <w:pStyle w:val="Normal.0"/>
      </w:pPr>
    </w:p>
    <w:p>
      <w:pPr>
        <w:pStyle w:val="Normal.0"/>
      </w:pPr>
      <w:r>
        <w:rPr>
          <w:rtl w:val="0"/>
          <w:lang w:val="nl-NL"/>
        </w:rPr>
        <w:t xml:space="preserve">[9] CS Voorschrift OT MET, </w:t>
      </w:r>
      <w:r>
        <w:rPr>
          <w:rtl w:val="0"/>
          <w:lang w:val="de-DE"/>
        </w:rPr>
        <w:t>CEB-OVG-21876</w:t>
      </w:r>
    </w:p>
    <w:p>
      <w:pPr>
        <w:pStyle w:val="Normal.0"/>
      </w:pPr>
    </w:p>
    <w:p>
      <w:pPr>
        <w:pStyle w:val="Normal.0"/>
      </w:pPr>
      <w:r>
        <w:rPr>
          <w:rtl w:val="0"/>
        </w:rPr>
        <w:t>[10] CS en KPI</w:t>
      </w:r>
      <w:r>
        <w:rPr>
          <w:rtl w:val="0"/>
        </w:rPr>
        <w:t>’</w:t>
      </w:r>
      <w:r>
        <w:rPr>
          <w:rtl w:val="0"/>
        </w:rPr>
        <w:t>s CEB-OVG-21172</w:t>
      </w:r>
    </w:p>
    <w:p>
      <w:pPr>
        <w:pStyle w:val="Normal.0"/>
      </w:pPr>
    </w:p>
    <w:p>
      <w:pPr>
        <w:pStyle w:val="Normal.0"/>
      </w:pPr>
      <w:r/>
    </w:p>
    <w:sectPr>
      <w:headerReference w:type="default" r:id="rId4"/>
      <w:headerReference w:type="first" r:id="rId5"/>
      <w:footerReference w:type="default" r:id="rId6"/>
      <w:footerReference w:type="first" r:id="rId7"/>
      <w:pgSz w:w="11900" w:h="16840" w:orient="portrait"/>
      <w:pgMar w:top="1843" w:right="1077" w:bottom="1077" w:left="1758" w:header="360" w:footer="360"/>
      <w:pgNumType w:start="1"/>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orbel">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right"/>
    </w:pPr>
    <w:r>
      <w:rPr>
        <w:rtl w:val="0"/>
        <w:lang w:val="nl-NL"/>
      </w:rPr>
      <w:t xml:space="preserve"> </w:t>
    </w:r>
    <w:r>
      <w:rPr>
        <w:outline w:val="0"/>
        <w:color w:val="535353"/>
        <w:u w:color="535353"/>
        <w:rtl w:val="0"/>
        <w14:textFill>
          <w14:solidFill>
            <w14:srgbClr w14:val="535353"/>
          </w14:solidFill>
        </w14:textFill>
      </w:rPr>
      <w:fldChar w:fldCharType="begin" w:fldLock="0"/>
    </w:r>
    <w:r>
      <w:rPr>
        <w:outline w:val="0"/>
        <w:color w:val="535353"/>
        <w:u w:color="535353"/>
        <w:rtl w:val="0"/>
        <w14:textFill>
          <w14:solidFill>
            <w14:srgbClr w14:val="535353"/>
          </w14:solidFill>
        </w14:textFill>
      </w:rPr>
      <w:instrText xml:space="preserve"> PAGE </w:instrText>
    </w:r>
    <w:r>
      <w:rPr>
        <w:outline w:val="0"/>
        <w:color w:val="535353"/>
        <w:u w:color="535353"/>
        <w:rtl w:val="0"/>
        <w14:textFill>
          <w14:solidFill>
            <w14:srgbClr w14:val="535353"/>
          </w14:solidFill>
        </w14:textFill>
      </w:rPr>
      <w:fldChar w:fldCharType="separate" w:fldLock="0"/>
    </w:r>
    <w:r>
      <w:rPr>
        <w:outline w:val="0"/>
        <w:color w:val="535353"/>
        <w:u w:color="535353"/>
        <w:rtl w:val="0"/>
        <w14:textFill>
          <w14:solidFill>
            <w14:srgbClr w14:val="535353"/>
          </w14:solidFill>
        </w14:textFill>
      </w:rPr>
    </w:r>
    <w:r>
      <w:rPr>
        <w:outline w:val="0"/>
        <w:color w:val="535353"/>
        <w:u w:color="535353"/>
        <w:rtl w:val="0"/>
        <w14:textFill>
          <w14:solidFill>
            <w14:srgbClr w14:val="535353"/>
          </w14:solidFill>
        </w14:textFill>
      </w:rPr>
      <w:fldChar w:fldCharType="end" w:fldLock="0"/>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 en voettekst"/>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tabs>
        <w:tab w:val="center" w:pos="4536"/>
        <w:tab w:val="right" w:pos="8478"/>
      </w:tabs>
      <w:rPr>
        <w:lang w:val="en-US"/>
      </w:rPr>
    </w:pPr>
    <w:r>
      <mc:AlternateContent>
        <mc:Choice Requires="wps">
          <w:drawing xmlns:a="http://schemas.openxmlformats.org/drawingml/2006/main">
            <wp:anchor distT="0" distB="0" distL="0" distR="0" simplePos="0" relativeHeight="251658240" behindDoc="1" locked="0" layoutInCell="1" allowOverlap="1">
              <wp:simplePos x="0" y="0"/>
              <wp:positionH relativeFrom="page">
                <wp:posOffset>7633968</wp:posOffset>
              </wp:positionH>
              <wp:positionV relativeFrom="page">
                <wp:posOffset>9492615</wp:posOffset>
              </wp:positionV>
              <wp:extent cx="360046" cy="228600"/>
              <wp:effectExtent l="0" t="0" r="0" b="0"/>
              <wp:wrapNone/>
              <wp:docPr id="1073741825" name="officeArt object"/>
              <wp:cNvGraphicFramePr/>
              <a:graphic xmlns:a="http://schemas.openxmlformats.org/drawingml/2006/main">
                <a:graphicData uri="http://schemas.microsoft.com/office/word/2010/wordprocessingShape">
                  <wps:wsp>
                    <wps:cNvSpPr/>
                    <wps:spPr>
                      <a:xfrm>
                        <a:off x="0" y="0"/>
                        <a:ext cx="360046" cy="228600"/>
                      </a:xfrm>
                      <a:prstGeom prst="rect">
                        <a:avLst/>
                      </a:prstGeom>
                    </wps:spPr>
                    <wps:txbx>
                      <w:txbxContent>
                        <w:tbl>
                          <w:tblPr>
                            <w:tblW w:w="567" w:type="dxa"/>
                            <w:tblInd w:w="1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deb"/>
                            <w:tblLayout w:type="fixed"/>
                          </w:tblPr>
                          <w:tblGrid>
                            <w:gridCol w:w="567"/>
                          </w:tblGrid>
                          <w:tr>
                            <w:tblPrEx>
                              <w:shd w:val="clear" w:color="auto" w:fill="ceddeb"/>
                            </w:tblPrEx>
                            <w:trPr>
                              <w:trHeight w:val="160" w:hRule="exact"/>
                            </w:trPr>
                            <w:tc>
                              <w:tcPr>
                                <w:tcW w:type="dxa" w:w="567"/>
                                <w:tcBorders>
                                  <w:top w:val="nil"/>
                                  <w:left w:val="nil"/>
                                  <w:bottom w:val="nil"/>
                                  <w:right w:val="nil"/>
                                </w:tcBorders>
                                <w:shd w:val="clear" w:color="auto" w:fill="auto"/>
                                <w:tcMar>
                                  <w:top w:type="dxa" w:w="80"/>
                                  <w:left w:type="dxa" w:w="80"/>
                                  <w:bottom w:type="dxa" w:w="80"/>
                                  <w:right w:type="dxa" w:w="80"/>
                                </w:tcMar>
                                <w:vAlign w:val="top"/>
                              </w:tcPr>
                              <w:p>
                                <w:pPr>
                                  <w:pStyle w:val="footer"/>
                                  <w:tabs>
                                    <w:tab w:val="right" w:pos="8478"/>
                                    <w:tab w:val="clear" w:pos="9072"/>
                                  </w:tabs>
                                </w:pPr>
                                <w:r>
                                  <w:rPr>
                                    <w:shd w:val="nil" w:color="auto" w:fill="auto"/>
                                    <w:rtl w:val="0"/>
                                    <w:lang w:val="nl-NL"/>
                                  </w:rPr>
                                  <w:fldChar w:fldCharType="begin" w:fldLock="0"/>
                                </w:r>
                                <w:r>
                                  <w:rPr>
                                    <w:shd w:val="nil" w:color="auto" w:fill="auto"/>
                                    <w:rtl w:val="0"/>
                                    <w:lang w:val="nl-NL"/>
                                  </w:rPr>
                                  <w:instrText xml:space="preserve"> PAGE </w:instrText>
                                </w:r>
                                <w:r>
                                  <w:rPr>
                                    <w:shd w:val="nil" w:color="auto" w:fill="auto"/>
                                    <w:rtl w:val="0"/>
                                    <w:lang w:val="nl-NL"/>
                                  </w:rPr>
                                  <w:fldChar w:fldCharType="separate" w:fldLock="0"/>
                                </w:r>
                                <w:r>
                                  <w:rPr>
                                    <w:shd w:val="nil" w:color="auto" w:fill="auto"/>
                                    <w:rtl w:val="0"/>
                                    <w:lang w:val="nl-NL"/>
                                  </w:rPr>
                                  <w:t>1</w:t>
                                </w:r>
                                <w:r>
                                  <w:rPr>
                                    <w:shd w:val="nil" w:color="auto" w:fill="auto"/>
                                    <w:rtl w:val="0"/>
                                    <w:lang w:val="nl-NL"/>
                                  </w:rPr>
                                  <w:fldChar w:fldCharType="end" w:fldLock="0"/>
                                </w:r>
                              </w:p>
                            </w:tc>
                          </w:tr>
                        </w:tbl>
                      </w:txbxContent>
                    </wps:txbx>
                    <wps:bodyPr lIns="0" tIns="0" rIns="0" bIns="0">
                      <a:spAutoFit/>
                    </wps:bodyPr>
                  </wps:wsp>
                </a:graphicData>
              </a:graphic>
            </wp:anchor>
          </w:drawing>
        </mc:Choice>
        <mc:Fallback>
          <w:pict>
            <v:shape id="_x0000_s1026" type="#_x0000_t202" style="visibility:visible;position:absolute;margin-left:601.1pt;margin-top:747.5pt;width:28.4pt;height:18.0pt;z-index:-251658240;mso-position-horizontal:absolute;mso-position-horizontal-relative:page;mso-position-vertical:absolute;mso-position-vertical-relative:page;mso-wrap-distance-left:0.0pt;mso-wrap-distance-top:0.0pt;mso-wrap-distance-right:0.0pt;mso-wrap-distance-bottom:0.0pt;">
              <v:fill on="f"/>
              <v:stroke on="f" weight="0.8pt" dashstyle="solid" endcap="flat" joinstyle="round" linestyle="single" startarrow="none" startarrowwidth="medium" startarrowlength="medium" endarrow="none" endarrowwidth="medium" endarrowlength="medium"/>
              <v:textbox>
                <w:txbxContent>
                  <w:tbl>
                    <w:tblPr>
                      <w:tblW w:w="567" w:type="dxa"/>
                      <w:tblInd w:w="1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deb"/>
                      <w:tblLayout w:type="fixed"/>
                    </w:tblPr>
                    <w:tblGrid>
                      <w:gridCol w:w="567"/>
                    </w:tblGrid>
                    <w:tr>
                      <w:tblPrEx>
                        <w:shd w:val="clear" w:color="auto" w:fill="ceddeb"/>
                      </w:tblPrEx>
                      <w:trPr>
                        <w:trHeight w:val="160" w:hRule="exact"/>
                      </w:trPr>
                      <w:tc>
                        <w:tcPr>
                          <w:tcW w:type="dxa" w:w="567"/>
                          <w:tcBorders>
                            <w:top w:val="nil"/>
                            <w:left w:val="nil"/>
                            <w:bottom w:val="nil"/>
                            <w:right w:val="nil"/>
                          </w:tcBorders>
                          <w:shd w:val="clear" w:color="auto" w:fill="auto"/>
                          <w:tcMar>
                            <w:top w:type="dxa" w:w="80"/>
                            <w:left w:type="dxa" w:w="80"/>
                            <w:bottom w:type="dxa" w:w="80"/>
                            <w:right w:type="dxa" w:w="80"/>
                          </w:tcMar>
                          <w:vAlign w:val="top"/>
                        </w:tcPr>
                        <w:p>
                          <w:pPr>
                            <w:pStyle w:val="footer"/>
                            <w:tabs>
                              <w:tab w:val="right" w:pos="8478"/>
                              <w:tab w:val="clear" w:pos="9072"/>
                            </w:tabs>
                          </w:pPr>
                          <w:r>
                            <w:rPr>
                              <w:shd w:val="nil" w:color="auto" w:fill="auto"/>
                              <w:rtl w:val="0"/>
                              <w:lang w:val="nl-NL"/>
                            </w:rPr>
                            <w:fldChar w:fldCharType="begin" w:fldLock="0"/>
                          </w:r>
                          <w:r>
                            <w:rPr>
                              <w:shd w:val="nil" w:color="auto" w:fill="auto"/>
                              <w:rtl w:val="0"/>
                              <w:lang w:val="nl-NL"/>
                            </w:rPr>
                            <w:instrText xml:space="preserve"> PAGE </w:instrText>
                          </w:r>
                          <w:r>
                            <w:rPr>
                              <w:shd w:val="nil" w:color="auto" w:fill="auto"/>
                              <w:rtl w:val="0"/>
                              <w:lang w:val="nl-NL"/>
                            </w:rPr>
                            <w:fldChar w:fldCharType="separate" w:fldLock="0"/>
                          </w:r>
                          <w:r>
                            <w:rPr>
                              <w:shd w:val="nil" w:color="auto" w:fill="auto"/>
                              <w:rtl w:val="0"/>
                              <w:lang w:val="nl-NL"/>
                            </w:rPr>
                            <w:t>1</w:t>
                          </w:r>
                          <w:r>
                            <w:rPr>
                              <w:shd w:val="nil" w:color="auto" w:fill="auto"/>
                              <w:rtl w:val="0"/>
                              <w:lang w:val="nl-NL"/>
                            </w:rPr>
                            <w:fldChar w:fldCharType="end" w:fldLock="0"/>
                          </w:r>
                        </w:p>
                      </w:tc>
                    </w:tr>
                  </w:tbl>
                </w:txbxContent>
              </v:textbox>
              <w10:wrap type="none" side="bothSides" anchorx="page" anchory="page"/>
            </v:shape>
          </w:pict>
        </mc:Fallback>
      </mc:AlternateContent>
    </w:r>
    <w:r>
      <w:rPr>
        <w:rtl w:val="0"/>
        <w:lang w:val="en-US"/>
      </w:rPr>
      <w:t>Documentnaam Cybersecuritydossier-sjabloon OT MET</w:t>
    </w:r>
  </w:p>
  <w:p>
    <w:pPr>
      <w:pStyle w:val="Normal.0"/>
      <w:tabs>
        <w:tab w:val="center" w:pos="4536"/>
        <w:tab w:val="right" w:pos="8478"/>
      </w:tabs>
      <w:rPr>
        <w:lang w:val="en-US"/>
      </w:rPr>
    </w:pPr>
    <w:r>
      <w:rPr>
        <w:rtl w:val="0"/>
        <w:lang w:val="en-US"/>
      </w:rPr>
      <w:t>Classificatie       Niet vertrouwelijk</w:t>
    </w:r>
  </w:p>
  <w:p>
    <w:pPr>
      <w:pStyle w:val="Normal.0"/>
    </w:pPr>
    <w:r>
      <w:rPr>
        <w:rtl w:val="0"/>
        <w:lang w:val="nl-NL"/>
      </w:rPr>
      <w:t>Document:         CEB/OVG/20265</w:t>
    </w:r>
  </w:p>
  <w:p>
    <w:pPr>
      <w:pStyle w:val="Normal.0"/>
    </w:pPr>
    <w:r>
      <w:rPr>
        <w:rtl w:val="0"/>
        <w:lang w:val="nl-NL"/>
      </w:rPr>
      <w:t>Versie 1.0          21 feb 2020</w:t>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ormal.0"/>
    </w:pPr>
    <w:r>
      <mc:AlternateContent>
        <mc:Choice Requires="wps">
          <w:drawing xmlns:a="http://schemas.openxmlformats.org/drawingml/2006/main">
            <wp:anchor distT="0" distB="0" distL="0" distR="0" simplePos="0" relativeHeight="251658240" behindDoc="1" locked="0" layoutInCell="1" allowOverlap="1">
              <wp:simplePos x="0" y="0"/>
              <wp:positionH relativeFrom="page">
                <wp:posOffset>6317612</wp:posOffset>
              </wp:positionH>
              <wp:positionV relativeFrom="page">
                <wp:posOffset>288287</wp:posOffset>
              </wp:positionV>
              <wp:extent cx="1497331" cy="228600"/>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1497331" cy="228600"/>
                      </a:xfrm>
                      <a:prstGeom prst="rect">
                        <a:avLst/>
                      </a:prstGeom>
                    </wps:spPr>
                    <wps:txbx>
                      <w:txbxContent>
                        <w:tbl>
                          <w:tblPr>
                            <w:tblW w:w="2358" w:type="dxa"/>
                            <w:tblInd w:w="1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deb"/>
                            <w:tblLayout w:type="fixed"/>
                          </w:tblPr>
                          <w:tblGrid>
                            <w:gridCol w:w="2358"/>
                          </w:tblGrid>
                          <w:tr>
                            <w:tblPrEx>
                              <w:shd w:val="clear" w:color="auto" w:fill="ceddeb"/>
                            </w:tblPrEx>
                            <w:trPr>
                              <w:trHeight w:val="160" w:hRule="exact"/>
                            </w:trPr>
                            <w:tc>
                              <w:tcPr>
                                <w:tcW w:type="dxa" w:w="2358"/>
                                <w:tcBorders>
                                  <w:top w:val="nil"/>
                                  <w:left w:val="nil"/>
                                  <w:bottom w:val="nil"/>
                                  <w:right w:val="nil"/>
                                </w:tcBorders>
                                <w:shd w:val="clear" w:color="auto" w:fill="auto"/>
                                <w:tcMar>
                                  <w:top w:type="dxa" w:w="80"/>
                                  <w:left w:type="dxa" w:w="80"/>
                                  <w:bottom w:type="dxa" w:w="80"/>
                                  <w:right w:type="dxa" w:w="80"/>
                                </w:tcMar>
                                <w:vAlign w:val="top"/>
                              </w:tcPr>
                              <w:p/>
                            </w:tc>
                          </w:tr>
                        </w:tbl>
                      </w:txbxContent>
                    </wps:txbx>
                    <wps:bodyPr lIns="0" tIns="0" rIns="0" bIns="0">
                      <a:spAutoFit/>
                    </wps:bodyPr>
                  </wps:wsp>
                </a:graphicData>
              </a:graphic>
            </wp:anchor>
          </w:drawing>
        </mc:Choice>
        <mc:Fallback>
          <w:pict>
            <v:shape id="_x0000_s1027" type="#_x0000_t202" style="visibility:visible;position:absolute;margin-left:497.4pt;margin-top:22.7pt;width:117.9pt;height:18.0pt;z-index:-251658240;mso-position-horizontal:absolute;mso-position-horizontal-relative:page;mso-position-vertical:absolute;mso-position-vertical-relative:page;mso-wrap-distance-left:0.0pt;mso-wrap-distance-top:0.0pt;mso-wrap-distance-right:0.0pt;mso-wrap-distance-bottom:0.0pt;">
              <v:fill on="f"/>
              <v:stroke on="f" weight="0.8pt" dashstyle="solid" endcap="flat" joinstyle="round" linestyle="single" startarrow="none" startarrowwidth="medium" startarrowlength="medium" endarrow="none" endarrowwidth="medium" endarrowlength="medium"/>
              <v:textbox>
                <w:txbxContent>
                  <w:tbl>
                    <w:tblPr>
                      <w:tblW w:w="2358" w:type="dxa"/>
                      <w:tblInd w:w="1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deb"/>
                      <w:tblLayout w:type="fixed"/>
                    </w:tblPr>
                    <w:tblGrid>
                      <w:gridCol w:w="2358"/>
                    </w:tblGrid>
                    <w:tr>
                      <w:tblPrEx>
                        <w:shd w:val="clear" w:color="auto" w:fill="ceddeb"/>
                      </w:tblPrEx>
                      <w:trPr>
                        <w:trHeight w:val="160" w:hRule="exact"/>
                      </w:trPr>
                      <w:tc>
                        <w:tcPr>
                          <w:tcW w:type="dxa" w:w="2358"/>
                          <w:tcBorders>
                            <w:top w:val="nil"/>
                            <w:left w:val="nil"/>
                            <w:bottom w:val="nil"/>
                            <w:right w:val="nil"/>
                          </w:tcBorders>
                          <w:shd w:val="clear" w:color="auto" w:fill="auto"/>
                          <w:tcMar>
                            <w:top w:type="dxa" w:w="80"/>
                            <w:left w:type="dxa" w:w="80"/>
                            <w:bottom w:type="dxa" w:w="80"/>
                            <w:right w:type="dxa" w:w="80"/>
                          </w:tcMar>
                          <w:vAlign w:val="top"/>
                        </w:tcPr>
                        <w:p/>
                      </w:tc>
                    </w:tr>
                  </w:tbl>
                </w:txbxContent>
              </v:textbox>
              <w10:wrap type="none" side="bothSides" anchorx="page" anchory="page"/>
            </v:shape>
          </w:pict>
        </mc:Fallback>
      </mc:AlternateContent>
    </w:r>
  </w:p>
  <w:p>
    <w:pPr>
      <w:pStyle w:val="Normal.0"/>
      <w:tabs>
        <w:tab w:val="center" w:pos="4536"/>
        <w:tab w:val="right" w:pos="8478"/>
      </w:tabs>
    </w:pPr>
  </w:p>
  <w:p>
    <w:pPr>
      <w:pStyle w:val="Normal.0"/>
      <w:tabs>
        <w:tab w:val="center" w:pos="4536"/>
        <w:tab w:val="right" w:pos="8478"/>
      </w:tabs>
    </w:pPr>
  </w:p>
  <w:p>
    <w:pPr>
      <w:pStyle w:val="Normal.0"/>
      <w:tabs>
        <w:tab w:val="center" w:pos="4536"/>
        <w:tab w:val="right" w:pos="8478"/>
      </w:tabs>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Geïmporteerde stijl 1"/>
  </w:abstractNum>
  <w:abstractNum w:abstractNumId="1">
    <w:multiLevelType w:val="hybridMultilevel"/>
    <w:styleLink w:val="Geïmporteerde stijl 1"/>
    <w:lvl w:ilvl="0">
      <w:start w:val="1"/>
      <w:numFmt w:val="decimal"/>
      <w:suff w:val="tab"/>
      <w:lvlText w:val="%1."/>
      <w:lvlJc w:val="left"/>
      <w:pPr>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624" w:hanging="624"/>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37" w:hanging="737"/>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50" w:hanging="85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2" w:hanging="22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22" w:hanging="22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2" w:hanging="22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22" w:hanging="22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222" w:hanging="222"/>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startOverride w:val="4"/>
    </w:lvlOverride>
  </w:num>
  <w:num w:numId="4">
    <w:abstractNumId w:val="0"/>
    <w:lvlOverride w:ilvl="0">
      <w:startOverride w:val="7"/>
    </w:lvlOverride>
  </w:num>
  <w:num w:numId="5">
    <w:abstractNumId w:val="0"/>
    <w:lvlOverride w:ilvl="0">
      <w:startOverride w:val="8"/>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Nederlands" w:val="‘“(〔[{〈《「『【⦅〘〖«〝︵︷︹︻︽︿﹁﹃﹇﹙﹛﹝｢"/>
  <w:noLineBreaksBefore w:lang="Nederland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nl-NL"/>
      <w14:textOutline w14:w="12700" w14:cap="flat">
        <w14:noFill/>
        <w14:miter w14:lim="400000"/>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536"/>
        <w:tab w:val="right" w:pos="9072"/>
      </w:tabs>
      <w:suppressAutoHyphens w:val="0"/>
      <w:bidi w:val="0"/>
      <w:spacing w:before="0" w:after="0" w:line="192" w:lineRule="auto"/>
      <w:ind w:left="0" w:right="0" w:firstLine="0"/>
      <w:jc w:val="left"/>
      <w:outlineLvl w:val="9"/>
    </w:pPr>
    <w:rPr>
      <w:rFonts w:ascii="Corbel" w:cs="Corbel" w:hAnsi="Corbel" w:eastAsia="Corbel"/>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nl-NL"/>
      <w14:textOutline w14:w="12700" w14:cap="flat">
        <w14:noFill/>
        <w14:miter w14:lim="400000"/>
      </w14:textOutline>
      <w14:textFill>
        <w14:solidFill>
          <w14:srgbClr w14:val="000000"/>
        </w14:solidFill>
      </w14:textFill>
    </w:rPr>
  </w:style>
  <w:style w:type="paragraph" w:styleId="Kop- en voettekst">
    <w:name w:val="Kop- en voettekst"/>
    <w:next w:val="Kop- en voettekst"/>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itle">
    <w:name w:val="Title"/>
    <w:next w:val="Normal.0"/>
    <w:pPr>
      <w:keepNext w:val="1"/>
      <w:keepLines w:val="0"/>
      <w:pageBreakBefore w:val="0"/>
      <w:widowControl w:val="1"/>
      <w:shd w:val="clear" w:color="auto" w:fill="auto"/>
      <w:suppressAutoHyphens w:val="0"/>
      <w:bidi w:val="0"/>
      <w:spacing w:before="0" w:after="0" w:line="240" w:lineRule="auto"/>
      <w:ind w:left="0" w:right="0" w:firstLine="0"/>
      <w:jc w:val="center"/>
      <w:outlineLvl w:val="9"/>
    </w:pPr>
    <w:rPr>
      <w:rFonts w:ascii="Helvetica" w:cs="Arial Unicode MS" w:hAnsi="Helvetica" w:eastAsia="Arial Unicode MS"/>
      <w:b w:val="1"/>
      <w:bCs w:val="1"/>
      <w:i w:val="0"/>
      <w:iCs w:val="0"/>
      <w:caps w:val="0"/>
      <w:smallCaps w:val="0"/>
      <w:strike w:val="0"/>
      <w:dstrike w:val="0"/>
      <w:outline w:val="0"/>
      <w:color w:val="000000"/>
      <w:spacing w:val="0"/>
      <w:kern w:val="0"/>
      <w:position w:val="0"/>
      <w:sz w:val="46"/>
      <w:szCs w:val="46"/>
      <w:u w:val="none" w:color="000000"/>
      <w:shd w:val="nil" w:color="auto" w:fill="auto"/>
      <w:vertAlign w:val="baseline"/>
      <w:lang w:val="nl-NL"/>
      <w14:textOutline w14:w="12700" w14:cap="flat">
        <w14:noFill/>
        <w14:miter w14:lim="400000"/>
      </w14:textOutline>
      <w14:textFill>
        <w14:solidFill>
          <w14:srgbClr w14:val="000000"/>
        </w14:solidFill>
      </w14:textFill>
    </w:rPr>
  </w:style>
  <w:style w:type="paragraph" w:styleId="SubTitel">
    <w:name w:val="SubTitel"/>
    <w:next w:val="SubTitel"/>
    <w:pPr>
      <w:keepNext w:val="0"/>
      <w:keepLines w:val="0"/>
      <w:pageBreakBefore w:val="0"/>
      <w:widowControl w:val="0"/>
      <w:shd w:val="clear" w:color="auto" w:fill="auto"/>
      <w:suppressAutoHyphens w:val="0"/>
      <w:bidi w:val="0"/>
      <w:spacing w:before="0" w:after="200" w:line="240" w:lineRule="auto"/>
      <w:ind w:left="0" w:right="0" w:firstLine="0"/>
      <w:jc w:val="center"/>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8"/>
      <w:szCs w:val="28"/>
      <w:u w:val="none" w:color="000000"/>
      <w:shd w:val="nil" w:color="auto" w:fill="auto"/>
      <w:vertAlign w:val="baseline"/>
      <w:lang w:val="nl-NL"/>
      <w14:textOutline w14:w="12700" w14:cap="flat">
        <w14:noFill/>
        <w14:miter w14:lim="400000"/>
      </w14:textOutline>
      <w14:textFill>
        <w14:solidFill>
          <w14:srgbClr w14:val="000000"/>
        </w14:solidFill>
      </w14:textFill>
    </w:rPr>
  </w:style>
  <w:style w:type="paragraph" w:styleId="heading 1">
    <w:name w:val="heading 1"/>
    <w:next w:val="Normal.0"/>
    <w:pPr>
      <w:keepNext w:val="0"/>
      <w:keepLines w:val="0"/>
      <w:pageBreakBefore w:val="0"/>
      <w:widowControl w:val="0"/>
      <w:shd w:val="clear" w:color="auto" w:fill="auto"/>
      <w:suppressAutoHyphens w:val="0"/>
      <w:bidi w:val="0"/>
      <w:spacing w:before="700" w:after="300" w:line="680" w:lineRule="atLeast"/>
      <w:ind w:left="0" w:right="0" w:firstLine="0"/>
      <w:jc w:val="left"/>
      <w:outlineLvl w:val="0"/>
    </w:pPr>
    <w:rPr>
      <w:rFonts w:ascii="Arial" w:cs="Arial Unicode MS" w:hAnsi="Arial" w:eastAsia="Arial Unicode MS"/>
      <w:b w:val="1"/>
      <w:bCs w:val="1"/>
      <w:i w:val="0"/>
      <w:iCs w:val="0"/>
      <w:caps w:val="0"/>
      <w:smallCaps w:val="0"/>
      <w:strike w:val="0"/>
      <w:dstrike w:val="0"/>
      <w:outline w:val="0"/>
      <w:color w:val="000000"/>
      <w:spacing w:val="0"/>
      <w:kern w:val="0"/>
      <w:position w:val="0"/>
      <w:sz w:val="40"/>
      <w:szCs w:val="40"/>
      <w:u w:val="none" w:color="000000"/>
      <w:shd w:val="nil" w:color="auto" w:fill="auto"/>
      <w:vertAlign w:val="baseline"/>
      <w:lang w:val="nl-NL"/>
      <w14:textOutline w14:w="12700" w14:cap="flat">
        <w14:noFill/>
        <w14:miter w14:lim="400000"/>
      </w14:textOutline>
      <w14:textFill>
        <w14:solidFill>
          <w14:srgbClr w14:val="000000"/>
        </w14:solidFill>
      </w14:textFill>
    </w:rPr>
  </w:style>
  <w:style w:type="numbering" w:styleId="Geïmporteerde stijl 1">
    <w:name w:val="Geïmporteerde stijl 1"/>
    <w:pPr>
      <w:numPr>
        <w:numId w:val="1"/>
      </w:numPr>
    </w:pPr>
  </w:style>
  <w:style w:type="paragraph" w:styleId="Hoofdtekst">
    <w:name w:val="Hoofdtekst"/>
    <w:next w:val="Hoofdteks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nl-NL"/>
      <w14:textOutline>
        <w14:noFill/>
      </w14:textOutline>
      <w14:textFill>
        <w14:solidFill>
          <w14:srgbClr w14:val="000000"/>
        </w14:solidFill>
      </w14:textFill>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3" Type="http://schemas.openxmlformats.org/officeDocument/2006/relationships/styles" Target="styles.xml"/><Relationship Id="rId7" Type="http://schemas.openxmlformats.org/officeDocument/2006/relationships/footer" Target="footer2.xml"/><Relationship Id="rId12" Type="http://schemas.openxmlformats.org/officeDocument/2006/relationships/customXml" Target="../customXml/item3.xml"/><Relationship Id="rId2" Type="http://schemas.openxmlformats.org/officeDocument/2006/relationships/fontTable" Target="fontTable.xml"/><Relationship Id="rId1" Type="http://schemas.openxmlformats.org/officeDocument/2006/relationships/settings" Target="settings.xml"/><Relationship Id="rId6" Type="http://schemas.openxmlformats.org/officeDocument/2006/relationships/footer" Target="footer1.xml"/><Relationship Id="rId11" Type="http://schemas.openxmlformats.org/officeDocument/2006/relationships/customXml" Target="../customXml/item2.xml"/><Relationship Id="rId5" Type="http://schemas.openxmlformats.org/officeDocument/2006/relationships/header" Target="header2.xml"/><Relationship Id="rId10" Type="http://schemas.openxmlformats.org/officeDocument/2006/relationships/customXml" Target="../customXml/item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j-lt"/>
            <a:ea typeface="+mj-ea"/>
            <a:cs typeface="+mj-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j-lt"/>
            <a:ea typeface="+mj-ea"/>
            <a:cs typeface="+mj-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A214559FFCF941B5C91285E871435E" ma:contentTypeVersion="6" ma:contentTypeDescription="Een nieuw document maken." ma:contentTypeScope="" ma:versionID="2ae672524798b526e716ae464d90590f">
  <xsd:schema xmlns:xsd="http://www.w3.org/2001/XMLSchema" xmlns:xs="http://www.w3.org/2001/XMLSchema" xmlns:p="http://schemas.microsoft.com/office/2006/metadata/properties" xmlns:ns2="26754f9a-0963-483f-a00f-8ee3e9955b64" xmlns:ns3="9f8973fb-b00f-42d2-bc39-f749c2d587c1" targetNamespace="http://schemas.microsoft.com/office/2006/metadata/properties" ma:root="true" ma:fieldsID="fedef45852d06bdf4ea7bf939ca5e16f" ns2:_="" ns3:_="">
    <xsd:import namespace="26754f9a-0963-483f-a00f-8ee3e9955b64"/>
    <xsd:import namespace="9f8973fb-b00f-42d2-bc39-f749c2d587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754f9a-0963-483f-a00f-8ee3e9955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8973fb-b00f-42d2-bc39-f749c2d587c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7EAD0F-36A0-4936-B740-D1ED6CA4A619}"/>
</file>

<file path=customXml/itemProps2.xml><?xml version="1.0" encoding="utf-8"?>
<ds:datastoreItem xmlns:ds="http://schemas.openxmlformats.org/officeDocument/2006/customXml" ds:itemID="{CFCAA75E-7944-4B60-9741-1C5B2FF33B29}"/>
</file>

<file path=customXml/itemProps3.xml><?xml version="1.0" encoding="utf-8"?>
<ds:datastoreItem xmlns:ds="http://schemas.openxmlformats.org/officeDocument/2006/customXml" ds:itemID="{AE981B1A-5118-42FF-968C-596345919C28}"/>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0x0101009AA214559FFCF941B5C91285E871435E</vt:lpwstr>
  </property>
</Properties>
</file>